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58" w:rsidRPr="00FA47E0" w:rsidRDefault="00FA4D1B" w:rsidP="0046478F">
      <w:pPr>
        <w:tabs>
          <w:tab w:val="left" w:pos="240"/>
        </w:tabs>
        <w:jc w:val="center"/>
        <w:rPr>
          <w:b/>
          <w:sz w:val="32"/>
          <w:szCs w:val="32"/>
          <w:u w:val="single"/>
        </w:rPr>
      </w:pPr>
      <w:r w:rsidRPr="00FA47E0">
        <w:rPr>
          <w:b/>
          <w:sz w:val="32"/>
          <w:szCs w:val="32"/>
          <w:u w:val="single"/>
        </w:rPr>
        <w:t>I Z V J E Š T A J</w:t>
      </w:r>
    </w:p>
    <w:p w:rsidR="00FA4D1B" w:rsidRPr="00FA47E0" w:rsidRDefault="00FE5C58" w:rsidP="0046478F">
      <w:pPr>
        <w:tabs>
          <w:tab w:val="left" w:pos="240"/>
        </w:tabs>
        <w:jc w:val="center"/>
        <w:rPr>
          <w:sz w:val="32"/>
          <w:szCs w:val="32"/>
          <w:u w:val="single"/>
        </w:rPr>
      </w:pPr>
      <w:r w:rsidRPr="00FA47E0">
        <w:rPr>
          <w:b/>
          <w:sz w:val="32"/>
          <w:szCs w:val="32"/>
          <w:u w:val="single"/>
        </w:rPr>
        <w:t xml:space="preserve">O    S P R O V E D E N O J   </w:t>
      </w:r>
      <w:r w:rsidR="00FA4D1B" w:rsidRPr="00FA47E0">
        <w:rPr>
          <w:b/>
          <w:sz w:val="32"/>
          <w:szCs w:val="32"/>
          <w:u w:val="single"/>
        </w:rPr>
        <w:t xml:space="preserve">J A V N O J    R A S P R A V I   </w:t>
      </w:r>
      <w:r w:rsidR="009E51C4" w:rsidRPr="00FA47E0">
        <w:rPr>
          <w:b/>
          <w:sz w:val="32"/>
          <w:szCs w:val="32"/>
          <w:u w:val="single"/>
        </w:rPr>
        <w:t>O</w:t>
      </w:r>
      <w:r w:rsidRPr="00FA47E0">
        <w:rPr>
          <w:b/>
          <w:sz w:val="32"/>
          <w:szCs w:val="32"/>
          <w:u w:val="single"/>
        </w:rPr>
        <w:t xml:space="preserve">  </w:t>
      </w:r>
      <w:r w:rsidR="00626F88" w:rsidRPr="00FA47E0">
        <w:rPr>
          <w:b/>
          <w:sz w:val="32"/>
          <w:szCs w:val="32"/>
          <w:u w:val="single"/>
        </w:rPr>
        <w:t xml:space="preserve">    </w:t>
      </w:r>
      <w:r w:rsidRPr="00FA47E0">
        <w:rPr>
          <w:sz w:val="32"/>
          <w:szCs w:val="32"/>
          <w:u w:val="single"/>
        </w:rPr>
        <w:t>Nacrt</w:t>
      </w:r>
      <w:r w:rsidR="009E51C4" w:rsidRPr="00FA47E0">
        <w:rPr>
          <w:sz w:val="32"/>
          <w:szCs w:val="32"/>
          <w:u w:val="single"/>
        </w:rPr>
        <w:t>u</w:t>
      </w:r>
      <w:r w:rsidRPr="00FA47E0">
        <w:rPr>
          <w:sz w:val="32"/>
          <w:szCs w:val="32"/>
          <w:u w:val="single"/>
        </w:rPr>
        <w:t xml:space="preserve"> Odluke o budžetu Opštine Budva za 202</w:t>
      </w:r>
      <w:r w:rsidR="00743D7B" w:rsidRPr="00FA47E0">
        <w:rPr>
          <w:sz w:val="32"/>
          <w:szCs w:val="32"/>
          <w:u w:val="single"/>
        </w:rPr>
        <w:t>5</w:t>
      </w:r>
      <w:r w:rsidRPr="00FA47E0">
        <w:rPr>
          <w:sz w:val="32"/>
          <w:szCs w:val="32"/>
          <w:u w:val="single"/>
        </w:rPr>
        <w:t>. godinu</w:t>
      </w:r>
    </w:p>
    <w:p w:rsidR="00FA4D1B" w:rsidRPr="00FA47E0" w:rsidRDefault="00FA4D1B" w:rsidP="0046478F">
      <w:pPr>
        <w:tabs>
          <w:tab w:val="left" w:pos="330"/>
        </w:tabs>
        <w:jc w:val="center"/>
        <w:rPr>
          <w:sz w:val="32"/>
          <w:szCs w:val="32"/>
          <w:u w:val="single"/>
        </w:rPr>
      </w:pPr>
      <w:r w:rsidRPr="00FA47E0">
        <w:rPr>
          <w:sz w:val="32"/>
          <w:szCs w:val="32"/>
          <w:u w:val="single"/>
        </w:rPr>
        <w:t xml:space="preserve"> (TEKUĆI PRIMICI I IZDACI)</w:t>
      </w:r>
    </w:p>
    <w:p w:rsidR="00FE5C58" w:rsidRPr="00FA47E0" w:rsidRDefault="00FE5C58" w:rsidP="0046478F">
      <w:pPr>
        <w:tabs>
          <w:tab w:val="left" w:pos="330"/>
        </w:tabs>
        <w:jc w:val="center"/>
        <w:rPr>
          <w:sz w:val="32"/>
          <w:szCs w:val="32"/>
          <w:u w:val="single"/>
        </w:rPr>
      </w:pPr>
    </w:p>
    <w:p w:rsidR="005E076E" w:rsidRPr="00FA47E0" w:rsidRDefault="005E076E" w:rsidP="0046478F">
      <w:pPr>
        <w:jc w:val="center"/>
        <w:rPr>
          <w:sz w:val="28"/>
          <w:szCs w:val="28"/>
        </w:rPr>
      </w:pPr>
    </w:p>
    <w:p w:rsidR="00C72667" w:rsidRPr="00FA47E0" w:rsidRDefault="00C72667" w:rsidP="00C72667">
      <w:pPr>
        <w:pStyle w:val="NoSpacing"/>
        <w:jc w:val="both"/>
        <w:rPr>
          <w:sz w:val="28"/>
          <w:szCs w:val="28"/>
        </w:rPr>
      </w:pPr>
      <w:r w:rsidRPr="00FA47E0">
        <w:rPr>
          <w:sz w:val="28"/>
          <w:szCs w:val="28"/>
        </w:rPr>
        <w:t>Programom javne rasprave za budžet o</w:t>
      </w:r>
      <w:r w:rsidR="00107F99" w:rsidRPr="00FA47E0">
        <w:rPr>
          <w:sz w:val="28"/>
          <w:szCs w:val="28"/>
        </w:rPr>
        <w:t xml:space="preserve">pštine Budva predviđene su tri </w:t>
      </w:r>
      <w:r w:rsidRPr="00FA47E0">
        <w:rPr>
          <w:sz w:val="28"/>
          <w:szCs w:val="28"/>
        </w:rPr>
        <w:t>javne tribine. Istim programom predviđeno je da su zainteresovani subjekti svoje primjedbe, predloge i sugestije mogli proslijediti:</w:t>
      </w:r>
    </w:p>
    <w:p w:rsidR="00C72667" w:rsidRPr="00FA47E0" w:rsidRDefault="00C72667" w:rsidP="00C72667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u pisanoj formi putem pošte, na adresu: Sekretarijat za finansije Opštine Budva, Trg sunca br. 3; </w:t>
      </w:r>
    </w:p>
    <w:p w:rsidR="00C72667" w:rsidRPr="00FA47E0" w:rsidRDefault="00C72667" w:rsidP="00C72667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FA47E0">
        <w:rPr>
          <w:sz w:val="28"/>
          <w:szCs w:val="28"/>
        </w:rPr>
        <w:t xml:space="preserve">putem e-mail adrese:  </w:t>
      </w:r>
      <w:hyperlink r:id="rId8" w:history="1">
        <w:r w:rsidRPr="00FA47E0">
          <w:rPr>
            <w:rStyle w:val="Hyperlink"/>
            <w:sz w:val="28"/>
            <w:szCs w:val="28"/>
          </w:rPr>
          <w:t>marko.vujovic</w:t>
        </w:r>
        <w:r w:rsidRPr="00FA47E0">
          <w:rPr>
            <w:rStyle w:val="Hyperlink"/>
            <w:sz w:val="28"/>
            <w:szCs w:val="28"/>
            <w:lang w:val="en-US"/>
          </w:rPr>
          <w:t>@budva.me</w:t>
        </w:r>
      </w:hyperlink>
      <w:r w:rsidR="00743D7B" w:rsidRPr="00FA47E0">
        <w:rPr>
          <w:sz w:val="28"/>
          <w:szCs w:val="28"/>
          <w:lang w:val="en-US"/>
        </w:rPr>
        <w:t xml:space="preserve">; </w:t>
      </w:r>
      <w:hyperlink r:id="rId9" w:history="1">
        <w:r w:rsidR="00743D7B" w:rsidRPr="00FA47E0">
          <w:rPr>
            <w:rStyle w:val="Hyperlink"/>
            <w:sz w:val="28"/>
            <w:szCs w:val="28"/>
            <w:lang w:val="en-US"/>
          </w:rPr>
          <w:t>neda.radanovic@budva.me</w:t>
        </w:r>
      </w:hyperlink>
    </w:p>
    <w:p w:rsidR="00C72667" w:rsidRPr="00FA47E0" w:rsidRDefault="00C72667" w:rsidP="00C72667">
      <w:pPr>
        <w:rPr>
          <w:sz w:val="28"/>
          <w:szCs w:val="28"/>
        </w:rPr>
      </w:pPr>
    </w:p>
    <w:p w:rsidR="00C72667" w:rsidRPr="00FA47E0" w:rsidRDefault="00C72667" w:rsidP="0046478F">
      <w:pPr>
        <w:jc w:val="center"/>
        <w:rPr>
          <w:sz w:val="28"/>
          <w:szCs w:val="28"/>
        </w:rPr>
      </w:pPr>
    </w:p>
    <w:p w:rsidR="00FA4D1B" w:rsidRPr="00FA47E0" w:rsidRDefault="00FA4D1B" w:rsidP="0046478F">
      <w:pPr>
        <w:jc w:val="center"/>
        <w:rPr>
          <w:b/>
          <w:sz w:val="32"/>
          <w:szCs w:val="28"/>
        </w:rPr>
      </w:pPr>
      <w:r w:rsidRPr="00FA47E0">
        <w:rPr>
          <w:b/>
          <w:sz w:val="32"/>
          <w:szCs w:val="28"/>
        </w:rPr>
        <w:t>Zapisni</w:t>
      </w:r>
      <w:r w:rsidR="00C72667" w:rsidRPr="00FA47E0">
        <w:rPr>
          <w:b/>
          <w:sz w:val="32"/>
          <w:szCs w:val="28"/>
        </w:rPr>
        <w:t>ci</w:t>
      </w:r>
      <w:r w:rsidRPr="00FA47E0">
        <w:rPr>
          <w:b/>
          <w:sz w:val="32"/>
          <w:szCs w:val="28"/>
        </w:rPr>
        <w:t xml:space="preserve"> sa javn</w:t>
      </w:r>
      <w:r w:rsidR="00C72667" w:rsidRPr="00FA47E0">
        <w:rPr>
          <w:b/>
          <w:sz w:val="32"/>
          <w:szCs w:val="28"/>
        </w:rPr>
        <w:t>ih</w:t>
      </w:r>
      <w:r w:rsidRPr="00FA47E0">
        <w:rPr>
          <w:b/>
          <w:sz w:val="32"/>
          <w:szCs w:val="28"/>
        </w:rPr>
        <w:t xml:space="preserve"> tribin</w:t>
      </w:r>
      <w:r w:rsidR="00107F99" w:rsidRPr="00FA47E0">
        <w:rPr>
          <w:b/>
          <w:sz w:val="32"/>
          <w:szCs w:val="28"/>
        </w:rPr>
        <w:t xml:space="preserve">a </w:t>
      </w:r>
      <w:r w:rsidRPr="00FA47E0">
        <w:rPr>
          <w:b/>
          <w:sz w:val="32"/>
          <w:szCs w:val="28"/>
        </w:rPr>
        <w:t>održan</w:t>
      </w:r>
      <w:r w:rsidR="00107F99" w:rsidRPr="00FA47E0">
        <w:rPr>
          <w:b/>
          <w:sz w:val="32"/>
          <w:szCs w:val="28"/>
        </w:rPr>
        <w:t>ih</w:t>
      </w:r>
      <w:r w:rsidRPr="00FA47E0">
        <w:rPr>
          <w:b/>
          <w:sz w:val="32"/>
          <w:szCs w:val="28"/>
        </w:rPr>
        <w:t xml:space="preserve"> povodom javne rasprave</w:t>
      </w:r>
    </w:p>
    <w:p w:rsidR="00FA4D1B" w:rsidRPr="00FA47E0" w:rsidRDefault="00107F99" w:rsidP="0046478F">
      <w:pPr>
        <w:jc w:val="center"/>
        <w:rPr>
          <w:b/>
          <w:sz w:val="32"/>
          <w:szCs w:val="28"/>
        </w:rPr>
      </w:pPr>
      <w:r w:rsidRPr="00FA47E0">
        <w:rPr>
          <w:b/>
          <w:sz w:val="32"/>
          <w:szCs w:val="28"/>
        </w:rPr>
        <w:t xml:space="preserve">O </w:t>
      </w:r>
      <w:r w:rsidR="00CF58FD" w:rsidRPr="00FA47E0">
        <w:rPr>
          <w:b/>
          <w:sz w:val="32"/>
          <w:szCs w:val="28"/>
        </w:rPr>
        <w:t>Nacrt</w:t>
      </w:r>
      <w:r w:rsidRPr="00FA47E0">
        <w:rPr>
          <w:b/>
          <w:sz w:val="32"/>
          <w:szCs w:val="28"/>
        </w:rPr>
        <w:t>u O</w:t>
      </w:r>
      <w:r w:rsidR="00FA4D1B" w:rsidRPr="00FA47E0">
        <w:rPr>
          <w:b/>
          <w:sz w:val="32"/>
          <w:szCs w:val="28"/>
        </w:rPr>
        <w:t>dluke o budžetu opštine Budva za 20</w:t>
      </w:r>
      <w:r w:rsidR="00197C1D" w:rsidRPr="00FA47E0">
        <w:rPr>
          <w:b/>
          <w:sz w:val="32"/>
          <w:szCs w:val="28"/>
        </w:rPr>
        <w:t>2</w:t>
      </w:r>
      <w:r w:rsidR="00743D7B" w:rsidRPr="00FA47E0">
        <w:rPr>
          <w:b/>
          <w:sz w:val="32"/>
          <w:szCs w:val="28"/>
        </w:rPr>
        <w:t>5</w:t>
      </w:r>
      <w:r w:rsidR="00FA4D1B" w:rsidRPr="00FA47E0">
        <w:rPr>
          <w:b/>
          <w:sz w:val="32"/>
          <w:szCs w:val="28"/>
        </w:rPr>
        <w:t>. godinu</w:t>
      </w:r>
    </w:p>
    <w:p w:rsidR="00FA4D1B" w:rsidRPr="00FA47E0" w:rsidRDefault="00FA4D1B" w:rsidP="0046478F">
      <w:pPr>
        <w:jc w:val="both"/>
        <w:rPr>
          <w:b/>
          <w:sz w:val="28"/>
          <w:szCs w:val="28"/>
          <w:u w:val="single"/>
        </w:rPr>
      </w:pPr>
    </w:p>
    <w:p w:rsidR="00451C7E" w:rsidRPr="00FA47E0" w:rsidRDefault="00451C7E" w:rsidP="0046478F">
      <w:pPr>
        <w:jc w:val="both"/>
        <w:rPr>
          <w:b/>
          <w:sz w:val="28"/>
          <w:szCs w:val="28"/>
          <w:u w:val="single"/>
        </w:rPr>
      </w:pPr>
    </w:p>
    <w:p w:rsidR="00107F99" w:rsidRPr="00FA47E0" w:rsidRDefault="00107F99" w:rsidP="0046478F">
      <w:pPr>
        <w:jc w:val="both"/>
        <w:rPr>
          <w:b/>
          <w:sz w:val="28"/>
          <w:szCs w:val="28"/>
          <w:u w:val="single"/>
        </w:rPr>
      </w:pPr>
      <w:r w:rsidRPr="00FA47E0">
        <w:rPr>
          <w:b/>
          <w:sz w:val="28"/>
          <w:szCs w:val="28"/>
          <w:u w:val="single"/>
        </w:rPr>
        <w:t>Javna tribina (Mjesne zajednice Petrovac, Buljarica, Reževići, građani i institucije sa područja ovih mjesnih zajednica) održana 1</w:t>
      </w:r>
      <w:r w:rsidR="00743D7B" w:rsidRPr="00FA47E0">
        <w:rPr>
          <w:b/>
          <w:sz w:val="28"/>
          <w:szCs w:val="28"/>
          <w:u w:val="single"/>
        </w:rPr>
        <w:t>7</w:t>
      </w:r>
      <w:r w:rsidRPr="00FA47E0">
        <w:rPr>
          <w:b/>
          <w:sz w:val="28"/>
          <w:szCs w:val="28"/>
          <w:u w:val="single"/>
        </w:rPr>
        <w:t>.12.202</w:t>
      </w:r>
      <w:r w:rsidR="00743D7B" w:rsidRPr="00FA47E0">
        <w:rPr>
          <w:b/>
          <w:sz w:val="28"/>
          <w:szCs w:val="28"/>
          <w:u w:val="single"/>
        </w:rPr>
        <w:t>4</w:t>
      </w:r>
      <w:r w:rsidRPr="00FA47E0">
        <w:rPr>
          <w:b/>
          <w:sz w:val="28"/>
          <w:szCs w:val="28"/>
          <w:u w:val="single"/>
        </w:rPr>
        <w:t>. godine, u sali kulturne ustanove „Crvena komuna“  Petrovac, sa početkom u 10:00 časova</w:t>
      </w:r>
    </w:p>
    <w:p w:rsidR="00107F99" w:rsidRPr="00FA47E0" w:rsidRDefault="00107F99" w:rsidP="0046478F">
      <w:pPr>
        <w:jc w:val="both"/>
        <w:rPr>
          <w:b/>
          <w:sz w:val="28"/>
          <w:szCs w:val="28"/>
          <w:u w:val="single"/>
        </w:rPr>
      </w:pPr>
    </w:p>
    <w:p w:rsidR="00FA4D1B" w:rsidRPr="00FA47E0" w:rsidRDefault="00107F99" w:rsidP="0046478F">
      <w:pPr>
        <w:jc w:val="both"/>
        <w:rPr>
          <w:rFonts w:eastAsia="Lucida Sans Unicode"/>
          <w:bCs/>
          <w:sz w:val="28"/>
          <w:szCs w:val="28"/>
        </w:rPr>
      </w:pPr>
      <w:r w:rsidRPr="00FA47E0">
        <w:rPr>
          <w:rFonts w:eastAsia="Lucida Sans Unicode"/>
          <w:bCs/>
          <w:sz w:val="28"/>
          <w:szCs w:val="28"/>
        </w:rPr>
        <w:t>O</w:t>
      </w:r>
      <w:r w:rsidR="00FA4D1B" w:rsidRPr="00FA47E0">
        <w:rPr>
          <w:rFonts w:eastAsia="Lucida Sans Unicode"/>
          <w:bCs/>
          <w:sz w:val="28"/>
          <w:szCs w:val="28"/>
        </w:rPr>
        <w:t>rganizatori javne tribine:</w:t>
      </w:r>
    </w:p>
    <w:p w:rsidR="00FA4D1B" w:rsidRPr="00FA47E0" w:rsidRDefault="00743D7B" w:rsidP="0046478F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Slavko Đukanović</w:t>
      </w:r>
      <w:r w:rsidR="00FA4D1B" w:rsidRPr="00FA47E0">
        <w:rPr>
          <w:sz w:val="28"/>
          <w:szCs w:val="28"/>
        </w:rPr>
        <w:t xml:space="preserve">, </w:t>
      </w:r>
      <w:r w:rsidR="00FE5C58" w:rsidRPr="00FA47E0">
        <w:rPr>
          <w:sz w:val="28"/>
          <w:szCs w:val="28"/>
        </w:rPr>
        <w:t>v.d.</w:t>
      </w:r>
      <w:r w:rsidRPr="00FA47E0">
        <w:rPr>
          <w:sz w:val="28"/>
          <w:szCs w:val="28"/>
        </w:rPr>
        <w:t xml:space="preserve"> pomoćnika </w:t>
      </w:r>
      <w:r w:rsidR="00FA4D1B" w:rsidRPr="00FA47E0">
        <w:rPr>
          <w:sz w:val="28"/>
          <w:szCs w:val="28"/>
        </w:rPr>
        <w:t>sekretar</w:t>
      </w:r>
      <w:r w:rsidRPr="00FA47E0">
        <w:rPr>
          <w:sz w:val="28"/>
          <w:szCs w:val="28"/>
        </w:rPr>
        <w:t>a</w:t>
      </w:r>
      <w:r w:rsidR="00A03185" w:rsidRPr="00FA47E0">
        <w:rPr>
          <w:sz w:val="28"/>
          <w:szCs w:val="28"/>
        </w:rPr>
        <w:t xml:space="preserve"> S</w:t>
      </w:r>
      <w:r w:rsidR="00FA4D1B" w:rsidRPr="00FA47E0">
        <w:rPr>
          <w:sz w:val="28"/>
          <w:szCs w:val="28"/>
        </w:rPr>
        <w:t>ekretatijata za finansije</w:t>
      </w:r>
    </w:p>
    <w:p w:rsidR="00FA4D1B" w:rsidRPr="00FA47E0" w:rsidRDefault="00A03185" w:rsidP="0046478F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Marko Vujović, </w:t>
      </w:r>
      <w:r w:rsidR="00107F99" w:rsidRPr="00FA47E0">
        <w:rPr>
          <w:sz w:val="28"/>
          <w:szCs w:val="28"/>
        </w:rPr>
        <w:t xml:space="preserve">rukovodilac Sektora za budžet </w:t>
      </w:r>
    </w:p>
    <w:p w:rsidR="00A942F5" w:rsidRPr="00FA47E0" w:rsidRDefault="00A03185" w:rsidP="0046478F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Neda Radanović, </w:t>
      </w:r>
      <w:r w:rsidR="00107F99" w:rsidRPr="00FA47E0">
        <w:rPr>
          <w:sz w:val="28"/>
          <w:szCs w:val="28"/>
        </w:rPr>
        <w:t>samostalna savjetnica I za budžet</w:t>
      </w:r>
    </w:p>
    <w:p w:rsidR="00B173A3" w:rsidRPr="00FA47E0" w:rsidRDefault="00B173A3" w:rsidP="0046478F">
      <w:pPr>
        <w:pStyle w:val="NoSpacing"/>
        <w:jc w:val="both"/>
        <w:rPr>
          <w:sz w:val="28"/>
          <w:szCs w:val="28"/>
        </w:rPr>
      </w:pPr>
    </w:p>
    <w:p w:rsidR="00F54B02" w:rsidRPr="00FA47E0" w:rsidRDefault="00AA3606" w:rsidP="006A1F66">
      <w:pPr>
        <w:pStyle w:val="NoSpacing"/>
        <w:jc w:val="both"/>
        <w:rPr>
          <w:sz w:val="28"/>
          <w:szCs w:val="28"/>
        </w:rPr>
      </w:pPr>
      <w:r w:rsidRPr="00FA47E0">
        <w:rPr>
          <w:sz w:val="28"/>
          <w:szCs w:val="28"/>
        </w:rPr>
        <w:t>Na javnoj raspravi</w:t>
      </w:r>
      <w:r w:rsidR="00FA4D1B" w:rsidRPr="00FA47E0">
        <w:rPr>
          <w:sz w:val="28"/>
          <w:szCs w:val="28"/>
        </w:rPr>
        <w:t>,</w:t>
      </w:r>
      <w:r w:rsidRPr="00FA47E0">
        <w:rPr>
          <w:sz w:val="28"/>
          <w:szCs w:val="28"/>
        </w:rPr>
        <w:t xml:space="preserve"> uvodnu riječ da</w:t>
      </w:r>
      <w:r w:rsidR="00743D7B" w:rsidRPr="00FA47E0">
        <w:rPr>
          <w:sz w:val="28"/>
          <w:szCs w:val="28"/>
        </w:rPr>
        <w:t>o</w:t>
      </w:r>
      <w:r w:rsidRPr="00FA47E0">
        <w:rPr>
          <w:sz w:val="28"/>
          <w:szCs w:val="28"/>
        </w:rPr>
        <w:t xml:space="preserve"> je </w:t>
      </w:r>
      <w:r w:rsidR="00743D7B" w:rsidRPr="00FA47E0">
        <w:rPr>
          <w:sz w:val="28"/>
          <w:szCs w:val="28"/>
        </w:rPr>
        <w:t>Slavko Đukanović</w:t>
      </w:r>
      <w:r w:rsidRPr="00FA47E0">
        <w:rPr>
          <w:sz w:val="28"/>
          <w:szCs w:val="28"/>
        </w:rPr>
        <w:t>, v.d.</w:t>
      </w:r>
      <w:r w:rsidR="00743D7B" w:rsidRPr="00FA47E0">
        <w:rPr>
          <w:sz w:val="28"/>
          <w:szCs w:val="28"/>
        </w:rPr>
        <w:t xml:space="preserve"> </w:t>
      </w:r>
      <w:r w:rsidRPr="00FA47E0">
        <w:rPr>
          <w:sz w:val="28"/>
          <w:szCs w:val="28"/>
        </w:rPr>
        <w:t>sekreta</w:t>
      </w:r>
      <w:r w:rsidR="00783A06" w:rsidRPr="00FA47E0">
        <w:rPr>
          <w:sz w:val="28"/>
          <w:szCs w:val="28"/>
        </w:rPr>
        <w:t>r</w:t>
      </w:r>
      <w:r w:rsidR="00743D7B" w:rsidRPr="00FA47E0">
        <w:rPr>
          <w:sz w:val="28"/>
          <w:szCs w:val="28"/>
        </w:rPr>
        <w:t>a</w:t>
      </w:r>
      <w:r w:rsidR="006A1F66" w:rsidRPr="00FA47E0">
        <w:rPr>
          <w:sz w:val="28"/>
          <w:szCs w:val="28"/>
        </w:rPr>
        <w:t xml:space="preserve"> </w:t>
      </w:r>
      <w:r w:rsidR="00783A06" w:rsidRPr="00FA47E0">
        <w:rPr>
          <w:sz w:val="28"/>
          <w:szCs w:val="28"/>
        </w:rPr>
        <w:t>Sekretar</w:t>
      </w:r>
      <w:r w:rsidR="00F54B02" w:rsidRPr="00FA47E0">
        <w:rPr>
          <w:sz w:val="28"/>
          <w:szCs w:val="28"/>
        </w:rPr>
        <w:t>ijata za finansije, koj</w:t>
      </w:r>
      <w:r w:rsidR="00743D7B" w:rsidRPr="00FA47E0">
        <w:rPr>
          <w:sz w:val="28"/>
          <w:szCs w:val="28"/>
        </w:rPr>
        <w:t>i</w:t>
      </w:r>
      <w:r w:rsidR="0007003B" w:rsidRPr="00FA47E0">
        <w:rPr>
          <w:sz w:val="28"/>
          <w:szCs w:val="28"/>
        </w:rPr>
        <w:t xml:space="preserve"> je pozdravio</w:t>
      </w:r>
      <w:r w:rsidR="00F54B02" w:rsidRPr="00FA47E0">
        <w:rPr>
          <w:sz w:val="28"/>
          <w:szCs w:val="28"/>
        </w:rPr>
        <w:t xml:space="preserve"> sve prisutne i za početak nave</w:t>
      </w:r>
      <w:r w:rsidR="00743D7B" w:rsidRPr="00FA47E0">
        <w:rPr>
          <w:sz w:val="28"/>
          <w:szCs w:val="28"/>
        </w:rPr>
        <w:t>o</w:t>
      </w:r>
      <w:r w:rsidR="00F54B02" w:rsidRPr="00FA47E0">
        <w:rPr>
          <w:sz w:val="28"/>
          <w:szCs w:val="28"/>
        </w:rPr>
        <w:t xml:space="preserve"> pravne osnove za donošenje Odluke o budžetu opštine Budva za 202</w:t>
      </w:r>
      <w:r w:rsidR="00743D7B" w:rsidRPr="00FA47E0">
        <w:rPr>
          <w:sz w:val="28"/>
          <w:szCs w:val="28"/>
        </w:rPr>
        <w:t>5</w:t>
      </w:r>
      <w:r w:rsidR="00F54B02" w:rsidRPr="00FA47E0">
        <w:rPr>
          <w:sz w:val="28"/>
          <w:szCs w:val="28"/>
        </w:rPr>
        <w:t xml:space="preserve">. godinu, uz navođenje </w:t>
      </w:r>
    </w:p>
    <w:p w:rsidR="00F54B02" w:rsidRPr="00FA47E0" w:rsidRDefault="00F54B02" w:rsidP="006A1F66">
      <w:pPr>
        <w:pStyle w:val="NoSpacing"/>
        <w:jc w:val="both"/>
        <w:rPr>
          <w:sz w:val="28"/>
          <w:szCs w:val="28"/>
        </w:rPr>
      </w:pPr>
      <w:r w:rsidRPr="00FA47E0">
        <w:rPr>
          <w:sz w:val="28"/>
          <w:szCs w:val="28"/>
        </w:rPr>
        <w:t>članova Zakona o budžetu i fiskalnoj odgovornosti, Zakona o finansiranju lokalne samouprave, Zakona o lokalnoj samoupravi i Statuta opštine Budva.</w:t>
      </w:r>
    </w:p>
    <w:p w:rsidR="00743D7B" w:rsidRPr="00FA47E0" w:rsidRDefault="00743D7B" w:rsidP="00F54B02">
      <w:pPr>
        <w:pStyle w:val="NoSpacing"/>
        <w:jc w:val="both"/>
        <w:rPr>
          <w:sz w:val="28"/>
          <w:szCs w:val="28"/>
        </w:rPr>
      </w:pPr>
    </w:p>
    <w:p w:rsidR="00F54B02" w:rsidRPr="00FA47E0" w:rsidRDefault="00F54B02" w:rsidP="0008428B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U nastavku izlaganja je nave</w:t>
      </w:r>
      <w:r w:rsidR="00743D7B" w:rsidRPr="00FA47E0">
        <w:rPr>
          <w:sz w:val="28"/>
          <w:szCs w:val="28"/>
        </w:rPr>
        <w:t>o</w:t>
      </w:r>
      <w:r w:rsidRPr="00FA47E0">
        <w:rPr>
          <w:sz w:val="28"/>
          <w:szCs w:val="28"/>
        </w:rPr>
        <w:t xml:space="preserve"> da je za 202</w:t>
      </w:r>
      <w:r w:rsidR="00743D7B" w:rsidRPr="00FA47E0">
        <w:rPr>
          <w:sz w:val="28"/>
          <w:szCs w:val="28"/>
        </w:rPr>
        <w:t>5</w:t>
      </w:r>
      <w:r w:rsidRPr="00FA47E0">
        <w:rPr>
          <w:sz w:val="28"/>
          <w:szCs w:val="28"/>
        </w:rPr>
        <w:t xml:space="preserve">. godinu planiran budžet u iznosu od </w:t>
      </w:r>
      <w:r w:rsidR="000C71F9" w:rsidRPr="00FA47E0">
        <w:rPr>
          <w:sz w:val="28"/>
          <w:szCs w:val="28"/>
        </w:rPr>
        <w:t>64</w:t>
      </w:r>
      <w:r w:rsidRPr="00FA47E0">
        <w:rPr>
          <w:sz w:val="28"/>
          <w:szCs w:val="28"/>
        </w:rPr>
        <w:t>.</w:t>
      </w:r>
      <w:r w:rsidR="000C71F9" w:rsidRPr="00FA47E0">
        <w:rPr>
          <w:sz w:val="28"/>
          <w:szCs w:val="28"/>
        </w:rPr>
        <w:t>198</w:t>
      </w:r>
      <w:r w:rsidRPr="00FA47E0">
        <w:rPr>
          <w:sz w:val="28"/>
          <w:szCs w:val="28"/>
        </w:rPr>
        <w:t>.000,00 E</w:t>
      </w:r>
      <w:r w:rsidR="000C71F9" w:rsidRPr="00FA47E0">
        <w:rPr>
          <w:sz w:val="28"/>
          <w:szCs w:val="28"/>
        </w:rPr>
        <w:t>UR</w:t>
      </w:r>
      <w:r w:rsidRPr="00FA47E0">
        <w:rPr>
          <w:sz w:val="28"/>
          <w:szCs w:val="28"/>
        </w:rPr>
        <w:t xml:space="preserve">, od čega je za kapitalni budžet </w:t>
      </w:r>
      <w:r w:rsidR="00AE1D9A" w:rsidRPr="00FA47E0">
        <w:rPr>
          <w:sz w:val="28"/>
          <w:szCs w:val="28"/>
        </w:rPr>
        <w:t>planirano 2</w:t>
      </w:r>
      <w:r w:rsidR="000C71F9" w:rsidRPr="00FA47E0">
        <w:rPr>
          <w:sz w:val="28"/>
          <w:szCs w:val="28"/>
        </w:rPr>
        <w:t>8</w:t>
      </w:r>
      <w:r w:rsidR="00AE1D9A" w:rsidRPr="00FA47E0">
        <w:rPr>
          <w:sz w:val="28"/>
          <w:szCs w:val="28"/>
        </w:rPr>
        <w:t>.</w:t>
      </w:r>
      <w:r w:rsidR="000C71F9" w:rsidRPr="00FA47E0">
        <w:rPr>
          <w:sz w:val="28"/>
          <w:szCs w:val="28"/>
        </w:rPr>
        <w:t>757</w:t>
      </w:r>
      <w:r w:rsidR="00AE1D9A" w:rsidRPr="00FA47E0">
        <w:rPr>
          <w:sz w:val="28"/>
          <w:szCs w:val="28"/>
        </w:rPr>
        <w:t>.</w:t>
      </w:r>
      <w:r w:rsidR="000C71F9" w:rsidRPr="00FA47E0">
        <w:rPr>
          <w:sz w:val="28"/>
          <w:szCs w:val="28"/>
        </w:rPr>
        <w:t>8</w:t>
      </w:r>
      <w:r w:rsidR="00AE1D9A" w:rsidRPr="00FA47E0">
        <w:rPr>
          <w:sz w:val="28"/>
          <w:szCs w:val="28"/>
        </w:rPr>
        <w:t>00,00 E</w:t>
      </w:r>
      <w:r w:rsidR="000C71F9" w:rsidRPr="00FA47E0">
        <w:rPr>
          <w:sz w:val="28"/>
          <w:szCs w:val="28"/>
        </w:rPr>
        <w:t>UR</w:t>
      </w:r>
      <w:r w:rsidR="00AE1D9A" w:rsidRPr="00FA47E0">
        <w:rPr>
          <w:sz w:val="28"/>
          <w:szCs w:val="28"/>
        </w:rPr>
        <w:t>,</w:t>
      </w:r>
      <w:r w:rsidR="006A1F66" w:rsidRPr="00FA47E0">
        <w:rPr>
          <w:sz w:val="28"/>
          <w:szCs w:val="28"/>
        </w:rPr>
        <w:t xml:space="preserve"> odnosno 44,80% od ukupnog budžeta, </w:t>
      </w:r>
      <w:r w:rsidR="00AE1D9A" w:rsidRPr="00FA47E0">
        <w:rPr>
          <w:sz w:val="28"/>
          <w:szCs w:val="28"/>
        </w:rPr>
        <w:t xml:space="preserve"> a z</w:t>
      </w:r>
      <w:r w:rsidRPr="00FA47E0">
        <w:rPr>
          <w:sz w:val="28"/>
          <w:szCs w:val="28"/>
        </w:rPr>
        <w:t xml:space="preserve">a tekući </w:t>
      </w:r>
      <w:r w:rsidR="000C71F9" w:rsidRPr="00FA47E0">
        <w:rPr>
          <w:sz w:val="28"/>
          <w:szCs w:val="28"/>
        </w:rPr>
        <w:t>31</w:t>
      </w:r>
      <w:r w:rsidRPr="00FA47E0">
        <w:rPr>
          <w:sz w:val="28"/>
          <w:szCs w:val="28"/>
        </w:rPr>
        <w:t>.</w:t>
      </w:r>
      <w:r w:rsidR="000C71F9" w:rsidRPr="00FA47E0">
        <w:rPr>
          <w:sz w:val="28"/>
          <w:szCs w:val="28"/>
        </w:rPr>
        <w:t>999</w:t>
      </w:r>
      <w:r w:rsidRPr="00FA47E0">
        <w:rPr>
          <w:sz w:val="28"/>
          <w:szCs w:val="28"/>
        </w:rPr>
        <w:t>.</w:t>
      </w:r>
      <w:r w:rsidR="000C71F9" w:rsidRPr="00FA47E0">
        <w:rPr>
          <w:sz w:val="28"/>
          <w:szCs w:val="28"/>
        </w:rPr>
        <w:t>7</w:t>
      </w:r>
      <w:r w:rsidRPr="00FA47E0">
        <w:rPr>
          <w:sz w:val="28"/>
          <w:szCs w:val="28"/>
        </w:rPr>
        <w:t>00,00 E</w:t>
      </w:r>
      <w:r w:rsidR="008B2A08" w:rsidRPr="00FA47E0">
        <w:rPr>
          <w:sz w:val="28"/>
          <w:szCs w:val="28"/>
        </w:rPr>
        <w:t xml:space="preserve">ur. </w:t>
      </w:r>
      <w:r w:rsidR="00B92978" w:rsidRPr="00FA47E0">
        <w:rPr>
          <w:sz w:val="28"/>
          <w:szCs w:val="28"/>
        </w:rPr>
        <w:t xml:space="preserve"> </w:t>
      </w:r>
      <w:r w:rsidR="000C71F9" w:rsidRPr="00FA47E0">
        <w:rPr>
          <w:sz w:val="28"/>
          <w:szCs w:val="28"/>
        </w:rPr>
        <w:t>Đukanović</w:t>
      </w:r>
      <w:r w:rsidRPr="00FA47E0">
        <w:rPr>
          <w:sz w:val="28"/>
          <w:szCs w:val="28"/>
        </w:rPr>
        <w:t xml:space="preserve"> je nave</w:t>
      </w:r>
      <w:r w:rsidR="000C71F9" w:rsidRPr="00FA47E0">
        <w:rPr>
          <w:sz w:val="28"/>
          <w:szCs w:val="28"/>
        </w:rPr>
        <w:t>o</w:t>
      </w:r>
      <w:r w:rsidRPr="00FA47E0">
        <w:rPr>
          <w:sz w:val="28"/>
          <w:szCs w:val="28"/>
        </w:rPr>
        <w:t xml:space="preserve"> da se vodilo računa o tekućim izdacima, d</w:t>
      </w:r>
      <w:r w:rsidR="000C71F9" w:rsidRPr="00FA47E0">
        <w:rPr>
          <w:sz w:val="28"/>
          <w:szCs w:val="28"/>
        </w:rPr>
        <w:t xml:space="preserve">a su isti planirani racionalno. Prilikom izrade Nacrta budžeta za 2025. godinu vodilo se računa i o izvršenju budžeta za tekuću, kao i realnost ispunjenja zahtjeva potrošačkih jedinica. Pri tome, vodilo se računa da se zadovolje pravne norme pri izradi budžeta. Prije svega, pri </w:t>
      </w:r>
      <w:r w:rsidR="000C71F9" w:rsidRPr="00FA47E0">
        <w:rPr>
          <w:sz w:val="28"/>
          <w:szCs w:val="28"/>
        </w:rPr>
        <w:lastRenderedPageBreak/>
        <w:t xml:space="preserve">planiranju Nacrta vodilo se računa da ukupni tekući prihodi moraju biti veći od ukupnih tekućih rashoda, što je i ispunjeno. </w:t>
      </w:r>
    </w:p>
    <w:p w:rsidR="000C71F9" w:rsidRPr="00FA47E0" w:rsidRDefault="000C71F9" w:rsidP="0008428B">
      <w:pPr>
        <w:jc w:val="both"/>
        <w:rPr>
          <w:sz w:val="28"/>
          <w:szCs w:val="28"/>
        </w:rPr>
      </w:pPr>
    </w:p>
    <w:p w:rsidR="0007003B" w:rsidRPr="00FA47E0" w:rsidRDefault="0007003B" w:rsidP="0008428B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Takođe je naveo da je pristiglo dosta sugestija, primjedbi i zahtjeva na Nacrt budžeta, a očekuje se da pristignu još do kraja javne rasprave, koja ističe 25.12.2024. godine. Oček</w:t>
      </w:r>
      <w:r w:rsidR="00AE29E2" w:rsidRPr="00FA47E0">
        <w:rPr>
          <w:sz w:val="28"/>
          <w:szCs w:val="28"/>
        </w:rPr>
        <w:t>uju</w:t>
      </w:r>
      <w:r w:rsidRPr="00FA47E0">
        <w:rPr>
          <w:sz w:val="28"/>
          <w:szCs w:val="28"/>
        </w:rPr>
        <w:t xml:space="preserve"> </w:t>
      </w:r>
      <w:r w:rsidR="00AE29E2" w:rsidRPr="00FA47E0">
        <w:rPr>
          <w:sz w:val="28"/>
          <w:szCs w:val="28"/>
        </w:rPr>
        <w:t>se</w:t>
      </w:r>
      <w:r w:rsidRPr="00FA47E0">
        <w:rPr>
          <w:sz w:val="28"/>
          <w:szCs w:val="28"/>
        </w:rPr>
        <w:t xml:space="preserve"> određen</w:t>
      </w:r>
      <w:r w:rsidR="00AE29E2" w:rsidRPr="00FA47E0">
        <w:rPr>
          <w:sz w:val="28"/>
          <w:szCs w:val="28"/>
        </w:rPr>
        <w:t>e</w:t>
      </w:r>
      <w:r w:rsidRPr="00FA47E0">
        <w:rPr>
          <w:sz w:val="28"/>
          <w:szCs w:val="28"/>
        </w:rPr>
        <w:t xml:space="preserve"> promjen</w:t>
      </w:r>
      <w:r w:rsidR="00AE29E2" w:rsidRPr="00FA47E0">
        <w:rPr>
          <w:sz w:val="28"/>
          <w:szCs w:val="28"/>
        </w:rPr>
        <w:t>e</w:t>
      </w:r>
      <w:r w:rsidRPr="00FA47E0">
        <w:rPr>
          <w:sz w:val="28"/>
          <w:szCs w:val="28"/>
        </w:rPr>
        <w:t xml:space="preserve"> kod konačne verzije budžeta u odnosu na Nacrt. Ali, pri tome će se voditi računa da se ne poremeti balans između tekućih prihoda i rashoda.</w:t>
      </w:r>
    </w:p>
    <w:p w:rsidR="00F54B02" w:rsidRPr="00FA47E0" w:rsidRDefault="00F54B02" w:rsidP="0046478F">
      <w:pPr>
        <w:pStyle w:val="NoSpacing"/>
        <w:ind w:firstLine="720"/>
        <w:jc w:val="both"/>
        <w:rPr>
          <w:sz w:val="28"/>
          <w:szCs w:val="28"/>
        </w:rPr>
      </w:pPr>
    </w:p>
    <w:p w:rsidR="00F6628E" w:rsidRPr="00FA47E0" w:rsidRDefault="00F6628E" w:rsidP="00F6628E">
      <w:pPr>
        <w:shd w:val="clear" w:color="auto" w:fill="FFFFFF"/>
        <w:spacing w:after="150"/>
        <w:jc w:val="both"/>
        <w:rPr>
          <w:sz w:val="28"/>
          <w:szCs w:val="28"/>
        </w:rPr>
      </w:pPr>
      <w:r w:rsidRPr="00FA47E0">
        <w:rPr>
          <w:sz w:val="28"/>
          <w:szCs w:val="28"/>
        </w:rPr>
        <w:t>Kako se niko od prisutnih nije javio za diskusiju koja se tiče tekućeg budžeta, ova javna tribina je završena. U nastavku je izlagan program Sekretarijata za investicije.</w:t>
      </w:r>
    </w:p>
    <w:p w:rsidR="006B52A8" w:rsidRPr="00FA47E0" w:rsidRDefault="006B52A8" w:rsidP="0046478F">
      <w:pPr>
        <w:pStyle w:val="NoSpacing"/>
        <w:ind w:firstLine="720"/>
        <w:jc w:val="both"/>
        <w:rPr>
          <w:sz w:val="28"/>
          <w:szCs w:val="28"/>
        </w:rPr>
      </w:pPr>
    </w:p>
    <w:p w:rsidR="006B52A8" w:rsidRPr="00FA47E0" w:rsidRDefault="006B52A8" w:rsidP="006B52A8"/>
    <w:p w:rsidR="006B52A8" w:rsidRPr="00FA47E0" w:rsidRDefault="006B52A8" w:rsidP="006B52A8">
      <w:pPr>
        <w:jc w:val="both"/>
        <w:rPr>
          <w:b/>
          <w:sz w:val="28"/>
          <w:szCs w:val="28"/>
          <w:u w:val="single"/>
        </w:rPr>
      </w:pPr>
      <w:r w:rsidRPr="00FA47E0">
        <w:rPr>
          <w:b/>
          <w:sz w:val="28"/>
          <w:szCs w:val="28"/>
          <w:u w:val="single"/>
        </w:rPr>
        <w:t>Javna tribina (</w:t>
      </w:r>
      <w:r w:rsidR="0062294A" w:rsidRPr="00FA47E0">
        <w:rPr>
          <w:sz w:val="28"/>
          <w:szCs w:val="28"/>
        </w:rPr>
        <w:t>za građane, mjesne zajednice, nevladine organizacije, pravna lica, preduzetnike i ostale zainteresovane subjekte</w:t>
      </w:r>
      <w:r w:rsidRPr="00FA47E0">
        <w:rPr>
          <w:sz w:val="28"/>
          <w:szCs w:val="28"/>
        </w:rPr>
        <w:t>)</w:t>
      </w:r>
      <w:r w:rsidRPr="00FA47E0">
        <w:rPr>
          <w:b/>
          <w:sz w:val="28"/>
          <w:szCs w:val="28"/>
          <w:u w:val="single"/>
        </w:rPr>
        <w:t xml:space="preserve"> održana </w:t>
      </w:r>
      <w:r w:rsidR="0062294A" w:rsidRPr="00FA47E0">
        <w:rPr>
          <w:b/>
          <w:sz w:val="28"/>
          <w:szCs w:val="28"/>
          <w:u w:val="single"/>
        </w:rPr>
        <w:t>20</w:t>
      </w:r>
      <w:r w:rsidRPr="00FA47E0">
        <w:rPr>
          <w:b/>
          <w:sz w:val="28"/>
          <w:szCs w:val="28"/>
          <w:u w:val="single"/>
        </w:rPr>
        <w:t>.12.202</w:t>
      </w:r>
      <w:r w:rsidR="0062294A" w:rsidRPr="00FA47E0">
        <w:rPr>
          <w:b/>
          <w:sz w:val="28"/>
          <w:szCs w:val="28"/>
          <w:u w:val="single"/>
        </w:rPr>
        <w:t>4</w:t>
      </w:r>
      <w:r w:rsidRPr="00FA47E0">
        <w:rPr>
          <w:b/>
          <w:sz w:val="28"/>
          <w:szCs w:val="28"/>
          <w:u w:val="single"/>
        </w:rPr>
        <w:t>. godine, u skupštinskoj sali opštine Budva, sa početkom u 10:00 časova</w:t>
      </w:r>
    </w:p>
    <w:p w:rsidR="006B52A8" w:rsidRPr="00FA47E0" w:rsidRDefault="006B52A8" w:rsidP="006B52A8">
      <w:pPr>
        <w:jc w:val="both"/>
        <w:rPr>
          <w:sz w:val="28"/>
          <w:szCs w:val="28"/>
        </w:rPr>
      </w:pPr>
    </w:p>
    <w:p w:rsidR="0062294A" w:rsidRPr="00FA47E0" w:rsidRDefault="0062294A" w:rsidP="0062294A">
      <w:pPr>
        <w:jc w:val="both"/>
        <w:rPr>
          <w:rFonts w:eastAsia="Lucida Sans Unicode"/>
          <w:bCs/>
          <w:sz w:val="28"/>
          <w:szCs w:val="28"/>
        </w:rPr>
      </w:pPr>
      <w:r w:rsidRPr="00FA47E0">
        <w:rPr>
          <w:rFonts w:eastAsia="Lucida Sans Unicode"/>
          <w:bCs/>
          <w:sz w:val="28"/>
          <w:szCs w:val="28"/>
        </w:rPr>
        <w:t>Organizatori javne tribine:</w:t>
      </w:r>
    </w:p>
    <w:p w:rsidR="0062294A" w:rsidRPr="00FA47E0" w:rsidRDefault="0062294A" w:rsidP="0062294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Slavko Đukanović, v.d. pomoćnika sekretara Sekretatijata za finansije</w:t>
      </w:r>
    </w:p>
    <w:p w:rsidR="0062294A" w:rsidRPr="00FA47E0" w:rsidRDefault="0062294A" w:rsidP="0062294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Marko Vujović, rukovodilac Sektora za budžet </w:t>
      </w:r>
    </w:p>
    <w:p w:rsidR="006B52A8" w:rsidRPr="00FA47E0" w:rsidRDefault="0062294A" w:rsidP="0062294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Neda Radanović, samostalna savjetnica I za budžet</w:t>
      </w:r>
    </w:p>
    <w:p w:rsidR="006B52A8" w:rsidRPr="00FA47E0" w:rsidRDefault="006B52A8" w:rsidP="006B52A8">
      <w:pPr>
        <w:jc w:val="both"/>
        <w:rPr>
          <w:sz w:val="28"/>
          <w:szCs w:val="28"/>
        </w:rPr>
      </w:pPr>
    </w:p>
    <w:p w:rsidR="0062294A" w:rsidRPr="00FA47E0" w:rsidRDefault="0062294A" w:rsidP="00AE1D9A">
      <w:pPr>
        <w:jc w:val="both"/>
        <w:rPr>
          <w:sz w:val="28"/>
          <w:szCs w:val="28"/>
        </w:rPr>
      </w:pPr>
    </w:p>
    <w:p w:rsidR="0062294A" w:rsidRPr="00FA47E0" w:rsidRDefault="006B52A8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Na</w:t>
      </w:r>
      <w:r w:rsidR="0062294A" w:rsidRPr="00FA47E0">
        <w:rPr>
          <w:sz w:val="28"/>
          <w:szCs w:val="28"/>
        </w:rPr>
        <w:t xml:space="preserve"> ovoj</w:t>
      </w:r>
      <w:r w:rsidRPr="00FA47E0">
        <w:rPr>
          <w:sz w:val="28"/>
          <w:szCs w:val="28"/>
        </w:rPr>
        <w:t xml:space="preserve"> javnoj raspravi, </w:t>
      </w:r>
      <w:r w:rsidR="0062294A" w:rsidRPr="00FA47E0">
        <w:rPr>
          <w:sz w:val="28"/>
          <w:szCs w:val="28"/>
        </w:rPr>
        <w:t>v.d. pomoćnika sekretara Sekretatijata za finansije, Slavko Đukanović, u uvodnoj riječi ponovio je sve prethodno navedeno na javnoj tribini u Petrovcu.</w:t>
      </w:r>
    </w:p>
    <w:p w:rsidR="0062294A" w:rsidRPr="00FA47E0" w:rsidRDefault="0062294A" w:rsidP="00AE1D9A">
      <w:pPr>
        <w:jc w:val="both"/>
        <w:rPr>
          <w:sz w:val="28"/>
          <w:szCs w:val="28"/>
        </w:rPr>
      </w:pPr>
    </w:p>
    <w:p w:rsidR="0062294A" w:rsidRPr="00FA47E0" w:rsidRDefault="0062294A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Prvi za riječ javio se Saša Samardžič, koji je skrenuo pažnju na previsok</w:t>
      </w:r>
      <w:r w:rsidR="0061085E" w:rsidRPr="00FA47E0">
        <w:rPr>
          <w:sz w:val="28"/>
          <w:szCs w:val="28"/>
        </w:rPr>
        <w:t>o</w:t>
      </w:r>
      <w:r w:rsidRPr="00FA47E0">
        <w:rPr>
          <w:sz w:val="28"/>
          <w:szCs w:val="28"/>
        </w:rPr>
        <w:t xml:space="preserve"> planirane izdatke koji su izdvojeni za stavku Izdaci po osnovu </w:t>
      </w:r>
      <w:r w:rsidR="0061085E" w:rsidRPr="00FA47E0">
        <w:rPr>
          <w:sz w:val="28"/>
          <w:szCs w:val="28"/>
        </w:rPr>
        <w:t>i</w:t>
      </w:r>
      <w:r w:rsidRPr="00FA47E0">
        <w:rPr>
          <w:sz w:val="28"/>
          <w:szCs w:val="28"/>
        </w:rPr>
        <w:t>splate ugovora o djelu. On smatra da je to vrlo problematična stavka</w:t>
      </w:r>
      <w:r w:rsidR="0061085E" w:rsidRPr="00FA47E0">
        <w:rPr>
          <w:sz w:val="28"/>
          <w:szCs w:val="28"/>
        </w:rPr>
        <w:t xml:space="preserve"> i da visoko planirana sredstva nemaju utemejenja u zakonu, te ih je potrebno smanjiti.</w:t>
      </w:r>
    </w:p>
    <w:p w:rsidR="000C3335" w:rsidRPr="00FA47E0" w:rsidRDefault="000C3335" w:rsidP="000C3335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Đukanović je odgovorio da sve razumije ali da ove zahtjeve dobija od svih sekretarijata i da će se truditi da </w:t>
      </w:r>
      <w:r w:rsidR="00C92580" w:rsidRPr="00FA47E0">
        <w:rPr>
          <w:sz w:val="28"/>
          <w:szCs w:val="28"/>
        </w:rPr>
        <w:t>se u buduće smanje</w:t>
      </w:r>
      <w:r w:rsidRPr="00FA47E0">
        <w:rPr>
          <w:sz w:val="28"/>
          <w:szCs w:val="28"/>
        </w:rPr>
        <w:t xml:space="preserve"> izdaci po ovom osnovu.</w:t>
      </w:r>
    </w:p>
    <w:p w:rsidR="000C3335" w:rsidRPr="00FA47E0" w:rsidRDefault="000C3335" w:rsidP="00AE1D9A">
      <w:pPr>
        <w:jc w:val="both"/>
        <w:rPr>
          <w:sz w:val="28"/>
          <w:szCs w:val="28"/>
        </w:rPr>
      </w:pPr>
    </w:p>
    <w:p w:rsidR="0061085E" w:rsidRPr="00FA47E0" w:rsidRDefault="00726613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Profesorica fizike, Velislavka </w:t>
      </w:r>
      <w:r w:rsidR="0061085E" w:rsidRPr="00FA47E0">
        <w:rPr>
          <w:sz w:val="28"/>
          <w:szCs w:val="28"/>
        </w:rPr>
        <w:t>Tešović</w:t>
      </w:r>
      <w:r w:rsidRPr="00FA47E0">
        <w:rPr>
          <w:sz w:val="28"/>
          <w:szCs w:val="28"/>
        </w:rPr>
        <w:t xml:space="preserve">, lice sa invaliditetom, obratila se za pomoć koja je neohodna radi dobijanja subvencija kako bi rješila stambeno pitanje. </w:t>
      </w:r>
    </w:p>
    <w:p w:rsidR="00726613" w:rsidRPr="00FA47E0" w:rsidRDefault="00726613" w:rsidP="00726613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Đukanović </w:t>
      </w:r>
      <w:r w:rsidR="000C3335" w:rsidRPr="00FA47E0">
        <w:rPr>
          <w:sz w:val="28"/>
          <w:szCs w:val="28"/>
        </w:rPr>
        <w:t xml:space="preserve">je </w:t>
      </w:r>
      <w:r w:rsidRPr="00FA47E0">
        <w:rPr>
          <w:sz w:val="28"/>
          <w:szCs w:val="28"/>
        </w:rPr>
        <w:t>istakao da razumije situaciju i da je Opština Budva uvijek pomagala da se obezbijede stanov</w:t>
      </w:r>
      <w:r w:rsidR="000C3335" w:rsidRPr="00FA47E0">
        <w:rPr>
          <w:sz w:val="28"/>
          <w:szCs w:val="28"/>
        </w:rPr>
        <w:t>i, što za prosvjetare, policiju, a da će u konkretnom slučaju opština preuzeti sve što je u njenoj moći, kako bi ispunila ovaj zahtjev.</w:t>
      </w:r>
      <w:r w:rsidRPr="00FA47E0">
        <w:rPr>
          <w:sz w:val="28"/>
          <w:szCs w:val="28"/>
        </w:rPr>
        <w:t xml:space="preserve"> </w:t>
      </w:r>
    </w:p>
    <w:p w:rsidR="002008C9" w:rsidRPr="00FA47E0" w:rsidRDefault="002008C9" w:rsidP="00AE1D9A">
      <w:pPr>
        <w:jc w:val="both"/>
        <w:rPr>
          <w:sz w:val="28"/>
          <w:szCs w:val="28"/>
        </w:rPr>
      </w:pPr>
    </w:p>
    <w:p w:rsidR="002008C9" w:rsidRPr="00FA47E0" w:rsidRDefault="002008C9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lastRenderedPageBreak/>
        <w:t>Đorđe Zenović je ukazao na velika izdvajanja za službena putovanja, reprezentacij</w:t>
      </w:r>
      <w:r w:rsidR="00726613" w:rsidRPr="00FA47E0">
        <w:rPr>
          <w:sz w:val="28"/>
          <w:szCs w:val="28"/>
        </w:rPr>
        <w:t>u</w:t>
      </w:r>
      <w:r w:rsidRPr="00FA47E0">
        <w:rPr>
          <w:sz w:val="28"/>
          <w:szCs w:val="28"/>
        </w:rPr>
        <w:t>, kao i transfere za Mediteranski sportski centar i Bazen.</w:t>
      </w:r>
    </w:p>
    <w:p w:rsidR="00600111" w:rsidRPr="00FA47E0" w:rsidRDefault="002008C9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Interesovalo ga je</w:t>
      </w:r>
      <w:r w:rsidR="00726613" w:rsidRPr="00FA47E0">
        <w:rPr>
          <w:sz w:val="28"/>
          <w:szCs w:val="28"/>
        </w:rPr>
        <w:t xml:space="preserve"> da li su i realizovani prihodi od privremenih lokacija.</w:t>
      </w:r>
      <w:r w:rsidR="00600111" w:rsidRPr="00FA47E0">
        <w:rPr>
          <w:sz w:val="28"/>
          <w:szCs w:val="28"/>
        </w:rPr>
        <w:t xml:space="preserve"> Ujedno je i pohvalio što su u budžetu izdvojena veća sredstva za zdravstvo, jer se na žalost ne možemo osloniti na državu.</w:t>
      </w:r>
    </w:p>
    <w:p w:rsidR="0061085E" w:rsidRPr="00FA47E0" w:rsidRDefault="0061085E" w:rsidP="00AE1D9A">
      <w:pPr>
        <w:jc w:val="both"/>
        <w:rPr>
          <w:sz w:val="28"/>
          <w:szCs w:val="28"/>
        </w:rPr>
      </w:pPr>
    </w:p>
    <w:p w:rsidR="00726613" w:rsidRPr="00FA47E0" w:rsidRDefault="00600111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Đukanović ističe da, s</w:t>
      </w:r>
      <w:r w:rsidR="00726613" w:rsidRPr="00FA47E0">
        <w:rPr>
          <w:sz w:val="28"/>
          <w:szCs w:val="28"/>
        </w:rPr>
        <w:t xml:space="preserve"> obzirom na inflaciju i porast cijena, zahtjevi potrošačkih jedinica za dodjelu sredstava za reprezentaciju, službena putovanja kao i transferima su veća. </w:t>
      </w:r>
      <w:r w:rsidRPr="00FA47E0">
        <w:rPr>
          <w:sz w:val="28"/>
          <w:szCs w:val="28"/>
        </w:rPr>
        <w:t>U pitanju je i veliki broj delegacija koje trebamo adekvatno dočekati. Slaže se da nema povratnog dejstva od države i da će shodno mogućnostima opština ulagati u obrazovanje i zdravstvo radi naše djece.</w:t>
      </w:r>
      <w:r w:rsidR="00726613" w:rsidRPr="00FA47E0">
        <w:rPr>
          <w:sz w:val="28"/>
          <w:szCs w:val="28"/>
        </w:rPr>
        <w:t xml:space="preserve"> </w:t>
      </w:r>
    </w:p>
    <w:p w:rsidR="00401EB5" w:rsidRPr="00FA47E0" w:rsidRDefault="00401EB5" w:rsidP="00AE1D9A">
      <w:pPr>
        <w:jc w:val="both"/>
        <w:rPr>
          <w:sz w:val="28"/>
          <w:szCs w:val="28"/>
        </w:rPr>
      </w:pPr>
    </w:p>
    <w:p w:rsidR="00401EB5" w:rsidRPr="00FA47E0" w:rsidRDefault="00401EB5" w:rsidP="00AE1D9A">
      <w:pPr>
        <w:jc w:val="both"/>
        <w:rPr>
          <w:sz w:val="28"/>
          <w:szCs w:val="28"/>
        </w:rPr>
      </w:pPr>
    </w:p>
    <w:p w:rsidR="00401EB5" w:rsidRPr="00FA47E0" w:rsidRDefault="0094622A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Tamara Goliš, predsjednica Sindikata zaposlenih u opštini Budva je prvo istakla da je zadovoljna što je jedna od njihovih sugestija odobrena, a koja se tiče obaveznog zdravstvenog osiguranja. (sa prošlogodišnjih 10.000,00 EUR,  u Nacrtu za 2025. godinu planiran je uznos od 40.000,00 EUR). </w:t>
      </w:r>
    </w:p>
    <w:p w:rsidR="0094622A" w:rsidRPr="00FA47E0" w:rsidRDefault="0094622A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Dalje je navela da nijesu planirana sredstva za transfer ovom Sindikatu shodno članu 24. Granskog kolektivnog ugovora, kojim se propisuje materijalna pomoć sindikatu od strane poslodavca.</w:t>
      </w:r>
    </w:p>
    <w:p w:rsidR="00FB166A" w:rsidRPr="00FA47E0" w:rsidRDefault="0094622A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Slavko Đukanović je odgovorio da je ove godine ta pomoć isplaćena kroz budžetsku poziciju – Tekuća budžetska rezerva, pa ne vidi problem da se i za 2025. godinu ovom sindikatu obezbijede stredstva shodno zakonskim propisima.</w:t>
      </w:r>
    </w:p>
    <w:p w:rsidR="0094622A" w:rsidRPr="00FA47E0" w:rsidRDefault="00FB166A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U nastavku je navodila zahtjeve koje bi, po njenom viđenju, trebalo uvrstiti u budžet opštine, i to: finansijska podrška zaposlenima sa djecom koja pohađaju osnovnu i srednju školu, sredstva za rekraciju zaposlenih, uvećanje startnog dijela zarade zaposlenih, rješavanje stambenog pitanja zaposlenih...</w:t>
      </w:r>
    </w:p>
    <w:p w:rsidR="00401EB5" w:rsidRPr="00FA47E0" w:rsidRDefault="00401EB5" w:rsidP="00AE1D9A">
      <w:pPr>
        <w:jc w:val="both"/>
        <w:rPr>
          <w:sz w:val="28"/>
          <w:szCs w:val="28"/>
        </w:rPr>
      </w:pPr>
    </w:p>
    <w:p w:rsidR="00C92580" w:rsidRPr="00FA47E0" w:rsidRDefault="00C92580" w:rsidP="00AE1D9A">
      <w:pPr>
        <w:jc w:val="both"/>
        <w:rPr>
          <w:sz w:val="28"/>
          <w:szCs w:val="28"/>
        </w:rPr>
      </w:pPr>
    </w:p>
    <w:p w:rsidR="00C92580" w:rsidRPr="00FA47E0" w:rsidRDefault="00C92580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Primjedba </w:t>
      </w:r>
      <w:r w:rsidR="00B330A9" w:rsidRPr="00FA47E0">
        <w:rPr>
          <w:sz w:val="28"/>
          <w:szCs w:val="28"/>
        </w:rPr>
        <w:t>predstavnika MZ Budva, Rada Šušića, odnosila se na mala izdvajanja za mjesne zajednice po osnovu izdataka za električnu energiju, gorivo, zakup. S obzirom da zahtjeve za stavku Transferi mjesnim zajednicama dobijamo od Sekretarijata za lokalnu samoupravu, Đukanović ga je uputio na nadležni organ.</w:t>
      </w:r>
    </w:p>
    <w:p w:rsidR="00401EB5" w:rsidRPr="00FA47E0" w:rsidRDefault="00401EB5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Na mala izdvajanja za navedene stavke ukazali su i Aleksandar Radović, MZ Reževići i Dejana Sinđić ispred MZ Markovići.</w:t>
      </w:r>
    </w:p>
    <w:p w:rsidR="00B330A9" w:rsidRPr="00FA47E0" w:rsidRDefault="00B330A9" w:rsidP="00AE1D9A">
      <w:pPr>
        <w:jc w:val="both"/>
        <w:rPr>
          <w:sz w:val="28"/>
          <w:szCs w:val="28"/>
        </w:rPr>
      </w:pPr>
    </w:p>
    <w:p w:rsidR="00B330A9" w:rsidRPr="00FA47E0" w:rsidRDefault="00B330A9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Ivana Lazović je ukazala na prevelika izdvajanja za stavku Ostale naknade, na šta je Đukanović ukazao da je to velika stavka i planirana sredstva se odnose na isplatu zimnica, komisija, pomoći, isplatu 8. mart itd.</w:t>
      </w:r>
    </w:p>
    <w:p w:rsidR="00B330A9" w:rsidRPr="00FA47E0" w:rsidRDefault="00B330A9" w:rsidP="00AE1D9A">
      <w:pPr>
        <w:jc w:val="both"/>
        <w:rPr>
          <w:sz w:val="28"/>
          <w:szCs w:val="28"/>
        </w:rPr>
      </w:pPr>
    </w:p>
    <w:p w:rsidR="00401EB5" w:rsidRPr="00FA47E0" w:rsidRDefault="00401EB5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Rajko Kuzman ispred NVO </w:t>
      </w:r>
      <w:r w:rsidR="001E523D" w:rsidRPr="00FA47E0">
        <w:rPr>
          <w:sz w:val="28"/>
          <w:szCs w:val="28"/>
        </w:rPr>
        <w:t xml:space="preserve">DDDK „Radivoje Pima“ istakao je važnost ove nevladine organizacije i koliko ovo društvo važi za ovaj grad. S obzirom </w:t>
      </w:r>
      <w:r w:rsidRPr="00FA47E0">
        <w:rPr>
          <w:sz w:val="28"/>
          <w:szCs w:val="28"/>
        </w:rPr>
        <w:t xml:space="preserve">da su </w:t>
      </w:r>
      <w:r w:rsidRPr="00FA47E0">
        <w:rPr>
          <w:sz w:val="28"/>
          <w:szCs w:val="28"/>
        </w:rPr>
        <w:lastRenderedPageBreak/>
        <w:t>planirana ista sredstva kao i ranijih godina, bili bi zadovoljni ako bi im se povećao iznos na 3</w:t>
      </w:r>
      <w:r w:rsidR="00D41AAB" w:rsidRPr="00FA47E0">
        <w:rPr>
          <w:sz w:val="28"/>
          <w:szCs w:val="28"/>
        </w:rPr>
        <w:t>0</w:t>
      </w:r>
      <w:r w:rsidRPr="00FA47E0">
        <w:rPr>
          <w:sz w:val="28"/>
          <w:szCs w:val="28"/>
        </w:rPr>
        <w:t>.000,00 eur</w:t>
      </w:r>
      <w:r w:rsidR="00D41AAB" w:rsidRPr="00FA47E0">
        <w:rPr>
          <w:sz w:val="28"/>
          <w:szCs w:val="28"/>
        </w:rPr>
        <w:t>, iako procijenjeni troškovi za njihove aktivnosti iznose 37.000,00 EUR</w:t>
      </w:r>
      <w:r w:rsidRPr="00FA47E0">
        <w:rPr>
          <w:sz w:val="28"/>
          <w:szCs w:val="28"/>
        </w:rPr>
        <w:t xml:space="preserve">. </w:t>
      </w:r>
      <w:r w:rsidR="0094622A" w:rsidRPr="00FA47E0">
        <w:rPr>
          <w:sz w:val="28"/>
          <w:szCs w:val="28"/>
        </w:rPr>
        <w:t>Slavvko Đukanović je odgovorio da će ovaj pr</w:t>
      </w:r>
      <w:r w:rsidRPr="00FA47E0">
        <w:rPr>
          <w:sz w:val="28"/>
          <w:szCs w:val="28"/>
        </w:rPr>
        <w:t>edlog biti razmotren.</w:t>
      </w:r>
    </w:p>
    <w:p w:rsidR="00401EB5" w:rsidRPr="00FA47E0" w:rsidRDefault="00401EB5" w:rsidP="00AE1D9A">
      <w:pPr>
        <w:jc w:val="both"/>
        <w:rPr>
          <w:sz w:val="28"/>
          <w:szCs w:val="28"/>
        </w:rPr>
      </w:pPr>
    </w:p>
    <w:p w:rsidR="00B330A9" w:rsidRPr="00FA47E0" w:rsidRDefault="00401EB5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 </w:t>
      </w:r>
      <w:r w:rsidR="00FB166A" w:rsidRPr="00FA47E0">
        <w:rPr>
          <w:sz w:val="28"/>
          <w:szCs w:val="28"/>
        </w:rPr>
        <w:t xml:space="preserve">Mile Vejnović Predsjednik skupštine NVO ,,Društvo Feral'', obratio se prisutnima zahtjevom da se ova NVO uvrsti u budžet opštine Budva za 2025. godinu, kroz budžetsku poziciju – Transferi za manifestacije i projekte, u okviru Sekretarijata za društvene djelatnosti. Iznos koji je tražen iznosi 15.200,00 EUR,  a odnosi se na dva projekta: ,,Tribute to Mimo'', džez festival </w:t>
      </w:r>
      <w:r w:rsidR="0046232D" w:rsidRPr="00FA47E0">
        <w:rPr>
          <w:sz w:val="28"/>
          <w:szCs w:val="28"/>
        </w:rPr>
        <w:t xml:space="preserve">(sedmi po redu) koji će se održati tokom mjeseca maja,  kao i za manifestaciju ,,Gastro-Pučka fešta – Poklade''. </w:t>
      </w:r>
    </w:p>
    <w:p w:rsidR="0046232D" w:rsidRPr="00FA47E0" w:rsidRDefault="0046232D" w:rsidP="00AE1D9A">
      <w:pPr>
        <w:jc w:val="both"/>
        <w:rPr>
          <w:sz w:val="28"/>
          <w:szCs w:val="28"/>
        </w:rPr>
      </w:pPr>
    </w:p>
    <w:p w:rsidR="0046232D" w:rsidRPr="00FA47E0" w:rsidRDefault="0046232D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Slavko  Đukanović  </w:t>
      </w:r>
      <w:r w:rsidR="00834AE8" w:rsidRPr="00FA47E0">
        <w:rPr>
          <w:sz w:val="28"/>
          <w:szCs w:val="28"/>
        </w:rPr>
        <w:t xml:space="preserve">je podržao idele za ove projekte, a opština će pokušati, shodno svojim mogućnostima, da finansijski podrži iste. </w:t>
      </w:r>
    </w:p>
    <w:p w:rsidR="00C92580" w:rsidRPr="00FA47E0" w:rsidRDefault="00C92580" w:rsidP="00AE1D9A">
      <w:pPr>
        <w:jc w:val="both"/>
        <w:rPr>
          <w:sz w:val="28"/>
          <w:szCs w:val="28"/>
        </w:rPr>
      </w:pPr>
    </w:p>
    <w:p w:rsidR="00C92580" w:rsidRPr="00FA47E0" w:rsidRDefault="00C92580" w:rsidP="00AE1D9A">
      <w:pPr>
        <w:jc w:val="both"/>
        <w:rPr>
          <w:sz w:val="28"/>
          <w:szCs w:val="28"/>
        </w:rPr>
      </w:pPr>
    </w:p>
    <w:p w:rsidR="00C92580" w:rsidRPr="00FA47E0" w:rsidRDefault="00F73A7B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Ovim se završila </w:t>
      </w:r>
      <w:r w:rsidR="00447CC8" w:rsidRPr="00FA47E0">
        <w:rPr>
          <w:sz w:val="28"/>
          <w:szCs w:val="28"/>
        </w:rPr>
        <w:t xml:space="preserve">prva javna tribina za tekući budžet. </w:t>
      </w:r>
    </w:p>
    <w:p w:rsidR="00C92580" w:rsidRPr="00FA47E0" w:rsidRDefault="00C92580" w:rsidP="00AE1D9A">
      <w:pPr>
        <w:jc w:val="both"/>
        <w:rPr>
          <w:sz w:val="28"/>
          <w:szCs w:val="28"/>
        </w:rPr>
      </w:pPr>
    </w:p>
    <w:p w:rsidR="00447CC8" w:rsidRPr="00FA47E0" w:rsidRDefault="00447CC8" w:rsidP="00AE1D9A">
      <w:pPr>
        <w:jc w:val="both"/>
        <w:rPr>
          <w:sz w:val="28"/>
          <w:szCs w:val="28"/>
        </w:rPr>
      </w:pPr>
    </w:p>
    <w:p w:rsidR="00447CC8" w:rsidRPr="00FA47E0" w:rsidRDefault="00447CC8" w:rsidP="00447CC8">
      <w:pPr>
        <w:jc w:val="both"/>
        <w:rPr>
          <w:b/>
          <w:sz w:val="28"/>
          <w:szCs w:val="28"/>
          <w:u w:val="single"/>
        </w:rPr>
      </w:pPr>
      <w:r w:rsidRPr="00FA47E0">
        <w:rPr>
          <w:b/>
          <w:sz w:val="28"/>
          <w:szCs w:val="28"/>
          <w:u w:val="single"/>
        </w:rPr>
        <w:t>Stručna javna tribina (za sekretare i načelnike, direktore javnih preduzeća</w:t>
      </w:r>
      <w:r w:rsidR="002F62BF" w:rsidRPr="00FA47E0">
        <w:rPr>
          <w:b/>
          <w:sz w:val="28"/>
          <w:szCs w:val="28"/>
          <w:u w:val="single"/>
        </w:rPr>
        <w:t xml:space="preserve"> i ustanova</w:t>
      </w:r>
      <w:r w:rsidRPr="00FA47E0">
        <w:rPr>
          <w:b/>
          <w:sz w:val="28"/>
          <w:szCs w:val="28"/>
          <w:u w:val="single"/>
        </w:rPr>
        <w:t xml:space="preserve">) koja je održana </w:t>
      </w:r>
      <w:r w:rsidR="002943D9" w:rsidRPr="00FA47E0">
        <w:rPr>
          <w:b/>
          <w:sz w:val="28"/>
          <w:szCs w:val="28"/>
          <w:u w:val="single"/>
        </w:rPr>
        <w:t>20</w:t>
      </w:r>
      <w:r w:rsidRPr="00FA47E0">
        <w:rPr>
          <w:b/>
          <w:sz w:val="28"/>
          <w:szCs w:val="28"/>
          <w:u w:val="single"/>
        </w:rPr>
        <w:t>.12.202</w:t>
      </w:r>
      <w:r w:rsidR="002943D9" w:rsidRPr="00FA47E0">
        <w:rPr>
          <w:b/>
          <w:sz w:val="28"/>
          <w:szCs w:val="28"/>
          <w:u w:val="single"/>
        </w:rPr>
        <w:t>4</w:t>
      </w:r>
      <w:r w:rsidRPr="00FA47E0">
        <w:rPr>
          <w:b/>
          <w:sz w:val="28"/>
          <w:szCs w:val="28"/>
          <w:u w:val="single"/>
        </w:rPr>
        <w:t>. godine u skupštinskoj sali opštine Budva, sa početkom u 12.00 časova</w:t>
      </w:r>
    </w:p>
    <w:p w:rsidR="00447CC8" w:rsidRPr="00FA47E0" w:rsidRDefault="00447CC8" w:rsidP="00AE1D9A">
      <w:pPr>
        <w:jc w:val="both"/>
        <w:rPr>
          <w:sz w:val="28"/>
          <w:szCs w:val="28"/>
        </w:rPr>
      </w:pPr>
    </w:p>
    <w:p w:rsidR="00447CC8" w:rsidRPr="00FA47E0" w:rsidRDefault="00447CC8" w:rsidP="00AE1D9A">
      <w:pPr>
        <w:jc w:val="both"/>
        <w:rPr>
          <w:sz w:val="28"/>
          <w:szCs w:val="28"/>
        </w:rPr>
      </w:pPr>
    </w:p>
    <w:p w:rsidR="00447CC8" w:rsidRPr="00FA47E0" w:rsidRDefault="00FE5CD0" w:rsidP="00AE1D9A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V.d. pomoćnika sekretara, Slavko Đukanović je u 12:00 časov</w:t>
      </w:r>
      <w:r w:rsidR="003358F9" w:rsidRPr="00FA47E0">
        <w:rPr>
          <w:sz w:val="28"/>
          <w:szCs w:val="28"/>
        </w:rPr>
        <w:t>a</w:t>
      </w:r>
      <w:r w:rsidRPr="00FA47E0">
        <w:rPr>
          <w:sz w:val="28"/>
          <w:szCs w:val="28"/>
        </w:rPr>
        <w:t xml:space="preserve"> otvorio i stručnu javnu raspravu. U uvodu je obrazložio budžet</w:t>
      </w:r>
      <w:r w:rsidR="003358F9" w:rsidRPr="00FA47E0">
        <w:rPr>
          <w:sz w:val="28"/>
          <w:szCs w:val="28"/>
        </w:rPr>
        <w:t xml:space="preserve"> </w:t>
      </w:r>
      <w:r w:rsidR="0065318E" w:rsidRPr="00FA47E0">
        <w:rPr>
          <w:sz w:val="28"/>
          <w:szCs w:val="28"/>
        </w:rPr>
        <w:t>kao što je naveo na prethodnim tribinama.</w:t>
      </w:r>
    </w:p>
    <w:p w:rsidR="00447CC8" w:rsidRPr="00FA47E0" w:rsidRDefault="00447CC8" w:rsidP="00AE1D9A">
      <w:pPr>
        <w:jc w:val="both"/>
        <w:rPr>
          <w:sz w:val="28"/>
          <w:szCs w:val="28"/>
        </w:rPr>
      </w:pPr>
    </w:p>
    <w:p w:rsidR="001B4404" w:rsidRPr="00FA47E0" w:rsidRDefault="001B4404" w:rsidP="006871B3">
      <w:pPr>
        <w:jc w:val="both"/>
        <w:rPr>
          <w:sz w:val="28"/>
          <w:szCs w:val="28"/>
        </w:rPr>
      </w:pPr>
    </w:p>
    <w:p w:rsidR="00451C7E" w:rsidRPr="00FA47E0" w:rsidRDefault="00765DBC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Prva za diskusiju se javila Duška Perazić, u ime Uprave lokalnih javnih prihoda. Navela je da se u ovoj upravi obavlja veliki posao, u dosta nepovoljnim uslovima. Obim poslova se iz godine u godinu uvećava, a gubi se vrijeme i efikasnost u poslu kada se on obavlja u dva razdvojena objekta. Ukazala je na veliko nezadovoljstvo radnika koji žele napustiti ovu upravu, dok neki službenici rade i po dva referata. Mišljenja je da radnike treba adekvatno nagraditi. </w:t>
      </w:r>
    </w:p>
    <w:p w:rsidR="00765DBC" w:rsidRPr="00FA47E0" w:rsidRDefault="00765DBC" w:rsidP="001B4404">
      <w:pPr>
        <w:jc w:val="both"/>
        <w:rPr>
          <w:sz w:val="28"/>
          <w:szCs w:val="28"/>
        </w:rPr>
      </w:pPr>
    </w:p>
    <w:p w:rsidR="00765DBC" w:rsidRPr="00FA47E0" w:rsidRDefault="00765DBC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Takođe, navela je da </w:t>
      </w:r>
      <w:r w:rsidR="000A524A" w:rsidRPr="00FA47E0">
        <w:rPr>
          <w:sz w:val="28"/>
          <w:szCs w:val="28"/>
        </w:rPr>
        <w:t>je dat i pisani zahtjev u vezi budžeta za 2025. godinu, u kome se navodi kako je neophodno zaposliti 16 novih službenika( 12 sa VSS, a 4 sa SSS)</w:t>
      </w:r>
      <w:r w:rsidR="00677E2F" w:rsidRPr="00FA47E0">
        <w:rPr>
          <w:sz w:val="28"/>
          <w:szCs w:val="28"/>
        </w:rPr>
        <w:t xml:space="preserve">, a najviše nedostaju pravnici. </w:t>
      </w:r>
    </w:p>
    <w:p w:rsidR="000A524A" w:rsidRPr="00FA47E0" w:rsidRDefault="000A524A" w:rsidP="001B4404">
      <w:pPr>
        <w:jc w:val="both"/>
        <w:rPr>
          <w:sz w:val="28"/>
          <w:szCs w:val="28"/>
        </w:rPr>
      </w:pPr>
    </w:p>
    <w:p w:rsidR="00677E2F" w:rsidRPr="00FA47E0" w:rsidRDefault="000A524A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Slavko Đukanović je odgovorio da je svima poznato kako </w:t>
      </w:r>
      <w:r w:rsidR="00677E2F" w:rsidRPr="00FA47E0">
        <w:rPr>
          <w:sz w:val="28"/>
          <w:szCs w:val="28"/>
        </w:rPr>
        <w:t xml:space="preserve">opština Budva ima mnogo zaposlenih, pa je potrebno tražiti rješavanje ovog problema internim putem, od trenutno zaposlenih u opštini. Dakle, potrebna je velika racionalizacija zaposlenih, </w:t>
      </w:r>
      <w:r w:rsidR="00677E2F" w:rsidRPr="00FA47E0">
        <w:rPr>
          <w:sz w:val="28"/>
          <w:szCs w:val="28"/>
        </w:rPr>
        <w:lastRenderedPageBreak/>
        <w:t>a na to su ukazivano i tokom prethodne javne rasprava, na kojoj su pojedini odbornici ukazivali na ovaj problem sa kojim se opština već duže vremena suočava (veliki broj zaposlenih i velika izdvajanja kroz budžetsku poziciju - Izdaci po osnovu ugovora o djelu).</w:t>
      </w:r>
    </w:p>
    <w:p w:rsidR="00451C7E" w:rsidRPr="00FA47E0" w:rsidRDefault="00451C7E" w:rsidP="001B4404">
      <w:pPr>
        <w:jc w:val="both"/>
        <w:rPr>
          <w:b/>
          <w:sz w:val="28"/>
          <w:szCs w:val="28"/>
          <w:u w:val="single"/>
        </w:rPr>
      </w:pPr>
    </w:p>
    <w:p w:rsidR="00451C7E" w:rsidRPr="00FA47E0" w:rsidRDefault="008176B0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Željka Knežević, u ime </w:t>
      </w:r>
      <w:r w:rsidR="0058442C" w:rsidRPr="00FA47E0">
        <w:rPr>
          <w:sz w:val="28"/>
          <w:szCs w:val="28"/>
        </w:rPr>
        <w:t>Sindikalne organizacije organa uprave i službi opštine Budva, obratila se predlogom za uvećanjem izdataka za otpremninu, zbog određenog broja zaposlenih koji bi uz adekvatnu otpremninu napustili opštinu Budva.</w:t>
      </w:r>
    </w:p>
    <w:p w:rsidR="0058442C" w:rsidRPr="00FA47E0" w:rsidRDefault="0058442C" w:rsidP="001B4404">
      <w:pPr>
        <w:jc w:val="both"/>
        <w:rPr>
          <w:sz w:val="28"/>
          <w:szCs w:val="28"/>
        </w:rPr>
      </w:pPr>
    </w:p>
    <w:p w:rsidR="0058442C" w:rsidRPr="00FA47E0" w:rsidRDefault="0058442C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S obzirom da je ovo pitanje regulisano zakonom, ne postoji mogućnost uvećanja na lokalnom novou, pa se ovaj predlog neće usvojiti, naveo je Slavko Đukanović. </w:t>
      </w:r>
    </w:p>
    <w:p w:rsidR="0058442C" w:rsidRPr="00FA47E0" w:rsidRDefault="0058442C" w:rsidP="001B4404">
      <w:pPr>
        <w:jc w:val="both"/>
        <w:rPr>
          <w:sz w:val="28"/>
          <w:szCs w:val="28"/>
        </w:rPr>
      </w:pPr>
    </w:p>
    <w:p w:rsidR="0058442C" w:rsidRPr="00FA47E0" w:rsidRDefault="00742E23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Vesna Pejović je u ime Sekretarijata za lokalnu samoupravu prisutne obavijestila da je ovaj sekretarijat podnio i pisani zahtjev u vezi primjedbi na Nacrt budžeta. Primjedbe se odnose na budžetsku poziciju – Komunikacione usluge, za koju se traži </w:t>
      </w:r>
      <w:r w:rsidR="007D66F6" w:rsidRPr="00FA47E0">
        <w:rPr>
          <w:sz w:val="28"/>
          <w:szCs w:val="28"/>
        </w:rPr>
        <w:t>uvećanje u iznosu od 60.000,00, zbog uvećanih cijena poštanskih usluga, od kojih su neke usluge uvećane za 80% (međunarodni poštanski saobraćaj).</w:t>
      </w:r>
    </w:p>
    <w:p w:rsidR="00742E23" w:rsidRPr="00FA47E0" w:rsidRDefault="00742E23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Takođe, sredstva za platni fond nijesu u skladu sa njihovin zahtjevom, te sugerišu </w:t>
      </w:r>
      <w:r w:rsidR="007D66F6" w:rsidRPr="00FA47E0">
        <w:rPr>
          <w:sz w:val="28"/>
          <w:szCs w:val="28"/>
        </w:rPr>
        <w:t>uvećanje i za ovu svrhu. Ove primjedbe je navela i kroz izlaganje na ovoj javnoj tribini.</w:t>
      </w:r>
    </w:p>
    <w:p w:rsidR="007D66F6" w:rsidRPr="00FA47E0" w:rsidRDefault="007D66F6" w:rsidP="001B4404">
      <w:pPr>
        <w:jc w:val="both"/>
        <w:rPr>
          <w:sz w:val="28"/>
          <w:szCs w:val="28"/>
        </w:rPr>
      </w:pPr>
    </w:p>
    <w:p w:rsidR="007D66F6" w:rsidRPr="00FA47E0" w:rsidRDefault="007D66F6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Slavko Đukanović smatra da je zahtjev u vezi komunikacionih usluga opravdan i da će se razmotriti mogućnost uvećanje u kompletnom iznosu, ukoliko bude mogućnoti za to.</w:t>
      </w:r>
    </w:p>
    <w:p w:rsidR="00BE791B" w:rsidRPr="00FA47E0" w:rsidRDefault="00BE791B" w:rsidP="001B4404">
      <w:pPr>
        <w:jc w:val="both"/>
        <w:rPr>
          <w:sz w:val="28"/>
          <w:szCs w:val="28"/>
        </w:rPr>
      </w:pPr>
    </w:p>
    <w:p w:rsidR="00BE791B" w:rsidRPr="00FA47E0" w:rsidRDefault="00BE791B" w:rsidP="00BE791B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Glavnu administratorku, Nevenku Božović Jovović interesovalo je zašto su na budžetskoj poziciji Transferi obrazovanju – prevencija mentalnog zdravlja, budžetom za 2025. godinu planirana sredstava u iznosu od 35.000,00 Eur. </w:t>
      </w:r>
    </w:p>
    <w:p w:rsidR="00BE791B" w:rsidRPr="00FA47E0" w:rsidRDefault="00BE791B" w:rsidP="00BE791B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Navedeni iznos planiran je na osnovu zahtjeva Sekretarijata za društvene djelatnosti, te iz tog razloga je isti i tako planiran, istakao je Đukanović.</w:t>
      </w:r>
    </w:p>
    <w:p w:rsidR="008C3944" w:rsidRPr="00FA47E0" w:rsidRDefault="008C3944" w:rsidP="001B4404">
      <w:pPr>
        <w:jc w:val="both"/>
        <w:rPr>
          <w:sz w:val="28"/>
          <w:szCs w:val="28"/>
        </w:rPr>
      </w:pPr>
    </w:p>
    <w:p w:rsidR="008C3944" w:rsidRPr="00FA47E0" w:rsidRDefault="008C3944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Sljedeći učesnik tribine bila je Gorana Vulanović, u ime ustanove ,,Akademija znanja'' doo. Istakla je da cifra od 110.000,00 EUR koja je dodijeljena u Nacrtu budžeta dovoljna za njihove potrebe, pa je navela da ova cifra ostane i u konačnoj verziji budžeta. </w:t>
      </w:r>
    </w:p>
    <w:p w:rsidR="008C3944" w:rsidRPr="00FA47E0" w:rsidRDefault="008C3944" w:rsidP="001B4404">
      <w:pPr>
        <w:jc w:val="both"/>
        <w:rPr>
          <w:sz w:val="28"/>
          <w:szCs w:val="28"/>
        </w:rPr>
      </w:pPr>
    </w:p>
    <w:p w:rsidR="008C3944" w:rsidRPr="00FA47E0" w:rsidRDefault="008C3944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Milena Lubarda – Marojević, direktorica JU ,,Grad teatar'', istakla je kako su drastično uvećani troškovi smještaja učesnika ljetnjeg festivala, tako da to u mnogome utiče na realizaciju istog. </w:t>
      </w:r>
      <w:r w:rsidR="003B3F69" w:rsidRPr="00FA47E0">
        <w:rPr>
          <w:sz w:val="28"/>
          <w:szCs w:val="28"/>
        </w:rPr>
        <w:t xml:space="preserve">Navela je da ,,Grad teatar'' ima nenaplaćenih potraživanja u ukupnom iznosu od 58.000,00 EUR (OPŠTINA Budva, TOB i Ministarstvo finansija). </w:t>
      </w:r>
    </w:p>
    <w:p w:rsidR="007829FB" w:rsidRPr="00FA47E0" w:rsidRDefault="003B3F69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Na kraju je navela da je zadovoljna iznosom koji je opredijeljen Nacrtom budžeta.</w:t>
      </w:r>
    </w:p>
    <w:p w:rsidR="007829FB" w:rsidRPr="00FA47E0" w:rsidRDefault="007829FB" w:rsidP="001B4404">
      <w:pPr>
        <w:jc w:val="both"/>
        <w:rPr>
          <w:sz w:val="28"/>
          <w:szCs w:val="28"/>
        </w:rPr>
      </w:pPr>
    </w:p>
    <w:p w:rsidR="007829FB" w:rsidRPr="00FA47E0" w:rsidRDefault="007829FB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Za diskusiju se zatim javila Iva Bajković, koja je svoje izlaganje započela upoređivanjem dodjele budžetskih sredstava za pojedina javna preduzeća, korisnike budžetskih sredstava. </w:t>
      </w:r>
    </w:p>
    <w:p w:rsidR="007829FB" w:rsidRPr="00FA47E0" w:rsidRDefault="007829FB" w:rsidP="001B4404">
      <w:pPr>
        <w:jc w:val="both"/>
        <w:rPr>
          <w:sz w:val="28"/>
          <w:szCs w:val="28"/>
        </w:rPr>
      </w:pPr>
    </w:p>
    <w:p w:rsidR="007829FB" w:rsidRPr="00FA47E0" w:rsidRDefault="007829FB" w:rsidP="001B4404">
      <w:pPr>
        <w:jc w:val="both"/>
        <w:rPr>
          <w:sz w:val="28"/>
          <w:szCs w:val="28"/>
        </w:rPr>
      </w:pPr>
    </w:p>
    <w:p w:rsidR="003B3F69" w:rsidRPr="00FA47E0" w:rsidRDefault="007829FB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Upoređivala je 2019. godinu sa 2024. iz koje se vidi da su se uvećavali iznosi za Mediretanski sportski centar, Sportsko-rekreativni centar ,,Dragan Trifunović'', JU Narodna biblioteka Budve, ,,Grad teatar''... Kako je navela, izdvajanja za RTV Budvu se nijesu</w:t>
      </w:r>
      <w:r w:rsidR="007C3B35" w:rsidRPr="00FA47E0">
        <w:rPr>
          <w:sz w:val="28"/>
          <w:szCs w:val="28"/>
        </w:rPr>
        <w:t xml:space="preserve"> praktično</w:t>
      </w:r>
      <w:r w:rsidRPr="00FA47E0">
        <w:rPr>
          <w:sz w:val="28"/>
          <w:szCs w:val="28"/>
        </w:rPr>
        <w:t xml:space="preserve"> povećavala</w:t>
      </w:r>
      <w:r w:rsidR="007C3B35" w:rsidRPr="00FA47E0">
        <w:rPr>
          <w:sz w:val="28"/>
          <w:szCs w:val="28"/>
        </w:rPr>
        <w:t xml:space="preserve"> (sa 960.000,00 EUR 2019. godine, na 962.000,00 EUR 2024. godine, dok su za navedene budžetske korisnike uvećanja drastična. Kako Nacrtom budžeta Opštine Budva za 2025. godinu nije ispoštovan Zakon o audiovizuelnim madijskim uslugama u dijelu uvećanja procenta za finanisranje lokalnog javnog emitera, Bajković je iskazala veliko nezadovoljstvo i traži uvećanje koje ih sleduje, u suprotnom će se obratiti Ministarstvu finansija kako bi zaštitili svoje interese.</w:t>
      </w:r>
      <w:r w:rsidR="00BE791B" w:rsidRPr="00FA47E0">
        <w:rPr>
          <w:sz w:val="28"/>
          <w:szCs w:val="28"/>
        </w:rPr>
        <w:t xml:space="preserve"> Navedene primjedbe, kako je navela, Iva Bajković je dostavila i pisanim putem.</w:t>
      </w:r>
    </w:p>
    <w:p w:rsidR="007C3B35" w:rsidRPr="00FA47E0" w:rsidRDefault="00BE791B" w:rsidP="001B4404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Đukanović je odgovorio da će se zahtjev ponovo razmotriti.</w:t>
      </w:r>
    </w:p>
    <w:p w:rsidR="00C91853" w:rsidRPr="00FA47E0" w:rsidRDefault="00C91853" w:rsidP="00A265B1">
      <w:pPr>
        <w:jc w:val="both"/>
        <w:rPr>
          <w:sz w:val="28"/>
          <w:szCs w:val="28"/>
        </w:rPr>
      </w:pPr>
    </w:p>
    <w:p w:rsidR="00451C7E" w:rsidRPr="00FA47E0" w:rsidRDefault="00C91853" w:rsidP="00A265B1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Ovim je javna tribina vezana za tekući budžet u vezi Nacrta Odluke o budžetu opštine Budva za 202</w:t>
      </w:r>
      <w:r w:rsidR="00192099" w:rsidRPr="00FA47E0">
        <w:rPr>
          <w:sz w:val="28"/>
          <w:szCs w:val="28"/>
        </w:rPr>
        <w:t>5</w:t>
      </w:r>
      <w:r w:rsidRPr="00FA47E0">
        <w:rPr>
          <w:sz w:val="28"/>
          <w:szCs w:val="28"/>
        </w:rPr>
        <w:t>. godinu završena.</w:t>
      </w:r>
    </w:p>
    <w:p w:rsidR="00451C7E" w:rsidRPr="00FA47E0" w:rsidRDefault="00451C7E" w:rsidP="00A265B1">
      <w:pPr>
        <w:jc w:val="both"/>
        <w:rPr>
          <w:sz w:val="28"/>
          <w:szCs w:val="28"/>
        </w:rPr>
      </w:pPr>
    </w:p>
    <w:p w:rsidR="003A7A43" w:rsidRPr="00FA47E0" w:rsidRDefault="00E07CE9" w:rsidP="00A265B1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>Pored ovih usmenih izlaganja, Sekretarijatu za finansije upućen</w:t>
      </w:r>
      <w:r w:rsidR="003A7A43" w:rsidRPr="00FA47E0">
        <w:rPr>
          <w:sz w:val="28"/>
          <w:szCs w:val="28"/>
        </w:rPr>
        <w:t>e</w:t>
      </w:r>
      <w:r w:rsidRPr="00FA47E0">
        <w:rPr>
          <w:sz w:val="28"/>
          <w:szCs w:val="28"/>
        </w:rPr>
        <w:t xml:space="preserve"> su i pisane primjed</w:t>
      </w:r>
      <w:r w:rsidR="009E592F" w:rsidRPr="00FA47E0">
        <w:rPr>
          <w:sz w:val="28"/>
          <w:szCs w:val="28"/>
        </w:rPr>
        <w:t>be, predlozi i mišljenja na Na</w:t>
      </w:r>
      <w:r w:rsidR="003A7A43" w:rsidRPr="00FA47E0">
        <w:rPr>
          <w:sz w:val="28"/>
          <w:szCs w:val="28"/>
        </w:rPr>
        <w:t>c</w:t>
      </w:r>
      <w:r w:rsidR="009E592F" w:rsidRPr="00FA47E0">
        <w:rPr>
          <w:sz w:val="28"/>
          <w:szCs w:val="28"/>
        </w:rPr>
        <w:t>rt o budžetu opštine B</w:t>
      </w:r>
      <w:r w:rsidR="003A7A43" w:rsidRPr="00FA47E0">
        <w:rPr>
          <w:sz w:val="28"/>
          <w:szCs w:val="28"/>
        </w:rPr>
        <w:t>udva za 202</w:t>
      </w:r>
      <w:r w:rsidR="00192099" w:rsidRPr="00FA47E0">
        <w:rPr>
          <w:sz w:val="28"/>
          <w:szCs w:val="28"/>
        </w:rPr>
        <w:t>5</w:t>
      </w:r>
      <w:r w:rsidR="003A7A43" w:rsidRPr="00FA47E0">
        <w:rPr>
          <w:sz w:val="28"/>
          <w:szCs w:val="28"/>
        </w:rPr>
        <w:t>. godinu:</w:t>
      </w:r>
    </w:p>
    <w:p w:rsidR="00192099" w:rsidRPr="00FA47E0" w:rsidRDefault="00192099" w:rsidP="00A265B1">
      <w:pPr>
        <w:jc w:val="both"/>
        <w:rPr>
          <w:sz w:val="28"/>
          <w:szCs w:val="28"/>
        </w:rPr>
      </w:pPr>
    </w:p>
    <w:p w:rsidR="00192099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RTV Budva;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Turistička organizacija opštine Budva;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Kancelarija za evropske integracije (u okviru budžetske jedinice – Predsjednik i služba predsjednika)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NVO DDDK ,,Radivoje Pima''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Komunalna inspekcija i komunalna policija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Sindikat zaposlenih u opštini Budva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 Narodna biblioteka Budve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KC ,,Stara Budva''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NVO ,,Gradski hor Budva''</w:t>
      </w:r>
    </w:p>
    <w:p w:rsidR="00FC3170" w:rsidRDefault="00FC3170" w:rsidP="00FC317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NVO ,,Feštađuni''</w:t>
      </w:r>
    </w:p>
    <w:p w:rsidR="00192099" w:rsidRPr="00FC3170" w:rsidRDefault="00FC3170" w:rsidP="00A265B1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NVO ,,Feral''</w:t>
      </w:r>
    </w:p>
    <w:p w:rsidR="00192099" w:rsidRPr="00FA47E0" w:rsidRDefault="00192099" w:rsidP="00A265B1">
      <w:pPr>
        <w:jc w:val="both"/>
        <w:rPr>
          <w:sz w:val="28"/>
          <w:szCs w:val="28"/>
        </w:rPr>
      </w:pPr>
    </w:p>
    <w:p w:rsidR="00E02DD1" w:rsidRPr="00FA47E0" w:rsidRDefault="00E02DD1" w:rsidP="00E02DD1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t xml:space="preserve">Sekretarijat za finansije, kao organ koji je nadležan za sprovođenje javne rasprave i sačinjavanje izvještaja, neke od primjedbi je usvojio, djelimično ili u potpunosti, dok neke primjedbe nije usvojio. </w:t>
      </w:r>
    </w:p>
    <w:p w:rsidR="00082A9F" w:rsidRPr="00FA47E0" w:rsidRDefault="00082A9F" w:rsidP="00E02DD1">
      <w:pPr>
        <w:jc w:val="both"/>
        <w:rPr>
          <w:sz w:val="28"/>
          <w:szCs w:val="28"/>
        </w:rPr>
      </w:pPr>
    </w:p>
    <w:p w:rsidR="00E02DD1" w:rsidRPr="00FA47E0" w:rsidRDefault="00305539" w:rsidP="00E02DD1">
      <w:pPr>
        <w:jc w:val="both"/>
        <w:rPr>
          <w:sz w:val="28"/>
          <w:szCs w:val="28"/>
        </w:rPr>
      </w:pPr>
      <w:r w:rsidRPr="00FA47E0">
        <w:rPr>
          <w:sz w:val="28"/>
          <w:szCs w:val="28"/>
        </w:rPr>
        <w:lastRenderedPageBreak/>
        <w:t>Uzimajući u obzir prethodno, u nastavku prikazujemo</w:t>
      </w:r>
      <w:r w:rsidR="00577421" w:rsidRPr="00FA47E0">
        <w:rPr>
          <w:sz w:val="28"/>
          <w:szCs w:val="28"/>
        </w:rPr>
        <w:t xml:space="preserve"> sljedeće tabele:</w:t>
      </w:r>
    </w:p>
    <w:p w:rsidR="002E7C22" w:rsidRDefault="002E7C22" w:rsidP="00A265B1">
      <w:pPr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fldChar w:fldCharType="begin"/>
      </w:r>
      <w:r>
        <w:instrText xml:space="preserve"> LINK </w:instrText>
      </w:r>
      <w:r w:rsidR="00B655E7">
        <w:instrText xml:space="preserve">Excel.Sheet.8 "\\\\files\\Marko i Dragan\\Budžet 2025\\04. Budžet 2025 konačni\\Izvještaj o sprovedenoj javnoj raspravi budžet 2025\\01. Budžet  2025.  uporedni Plan primitaka.xls" "BUDŽET 2025!R1C1:R7C4" </w:instrText>
      </w:r>
      <w:r>
        <w:instrText xml:space="preserve">\a \f 4 \h  \* MERGEFORMAT </w:instrText>
      </w:r>
      <w:r>
        <w:fldChar w:fldCharType="separat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31"/>
        <w:gridCol w:w="5306"/>
        <w:gridCol w:w="1701"/>
        <w:gridCol w:w="1701"/>
      </w:tblGrid>
      <w:tr w:rsidR="002E7C22" w:rsidRPr="002E7C22" w:rsidTr="002E7C22">
        <w:trPr>
          <w:trHeight w:val="31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rPr>
                <w:sz w:val="22"/>
                <w:szCs w:val="22"/>
                <w:lang w:val="sr-Latn-ME" w:eastAsia="sr-Latn-ME"/>
              </w:rPr>
            </w:pPr>
          </w:p>
        </w:tc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7C22" w:rsidRPr="002E7C22" w:rsidRDefault="002E7C22" w:rsidP="002E7C22">
            <w:pPr>
              <w:jc w:val="center"/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Plan primitaka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jc w:val="center"/>
              <w:rPr>
                <w:b/>
                <w:bCs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rPr>
                <w:sz w:val="22"/>
                <w:szCs w:val="22"/>
                <w:lang w:val="sr-Latn-ME" w:eastAsia="sr-Latn-ME"/>
              </w:rPr>
            </w:pPr>
          </w:p>
        </w:tc>
      </w:tr>
      <w:tr w:rsidR="002E7C22" w:rsidRPr="002E7C22" w:rsidTr="002E7C22">
        <w:trPr>
          <w:trHeight w:val="33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rPr>
                <w:sz w:val="22"/>
                <w:szCs w:val="22"/>
                <w:lang w:val="sr-Latn-ME" w:eastAsia="sr-Latn-ME"/>
              </w:rPr>
            </w:pPr>
          </w:p>
        </w:tc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C22" w:rsidRPr="002E7C22" w:rsidRDefault="002E7C22" w:rsidP="002E7C22">
            <w:pPr>
              <w:jc w:val="center"/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Fiskalna godina: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2E7C22" w:rsidRPr="002E7C22" w:rsidTr="002E7C22">
        <w:trPr>
          <w:trHeight w:val="645"/>
        </w:trPr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C22" w:rsidRPr="002E7C22" w:rsidRDefault="002E7C22" w:rsidP="002E7C22">
            <w:pPr>
              <w:jc w:val="center"/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Ek. šifra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C22" w:rsidRPr="002E7C22" w:rsidRDefault="002E7C22" w:rsidP="002E7C22">
            <w:pPr>
              <w:jc w:val="center"/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Opis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C22" w:rsidRPr="002E7C22" w:rsidRDefault="002E7C22" w:rsidP="002E7C22">
            <w:pPr>
              <w:jc w:val="center"/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Budžet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C22" w:rsidRPr="002E7C22" w:rsidRDefault="002E7C22" w:rsidP="002E7C22">
            <w:pPr>
              <w:jc w:val="center"/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Nacrt budžeta 2025</w:t>
            </w:r>
          </w:p>
        </w:tc>
      </w:tr>
      <w:tr w:rsidR="002E7C22" w:rsidRPr="002E7C22" w:rsidTr="002E7C22">
        <w:trPr>
          <w:trHeight w:val="330"/>
        </w:trPr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C22" w:rsidRPr="002E7C22" w:rsidRDefault="002E7C22" w:rsidP="002E7C22">
            <w:pPr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711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C22" w:rsidRPr="002E7C22" w:rsidRDefault="002E7C22" w:rsidP="002E7C22">
            <w:pPr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POREZI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rPr>
                <w:b/>
                <w:bCs/>
                <w:sz w:val="22"/>
                <w:szCs w:val="22"/>
                <w:lang w:val="sr-Latn-ME" w:eastAsia="sr-Latn-ME"/>
              </w:rPr>
            </w:pPr>
            <w:r w:rsidRPr="002E7C22">
              <w:rPr>
                <w:b/>
                <w:bCs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2E7C22" w:rsidRPr="002E7C22" w:rsidTr="002E7C22">
        <w:trPr>
          <w:trHeight w:val="31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C22" w:rsidRPr="002E7C22" w:rsidRDefault="002E7C22" w:rsidP="002E7C22">
            <w:pPr>
              <w:jc w:val="center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71111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C22" w:rsidRPr="002E7C22" w:rsidRDefault="002E7C22" w:rsidP="002E7C22">
            <w:pPr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 xml:space="preserve">Porez na lična primanja zaposlenih kod pravnih lica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jc w:val="right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3 460 000,00 €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jc w:val="right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3 400 000,00 €</w:t>
            </w:r>
          </w:p>
        </w:tc>
      </w:tr>
      <w:tr w:rsidR="002E7C22" w:rsidRPr="002E7C22" w:rsidTr="002E7C22">
        <w:trPr>
          <w:trHeight w:val="31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C22" w:rsidRPr="002E7C22" w:rsidRDefault="002E7C22" w:rsidP="002E7C22">
            <w:pPr>
              <w:jc w:val="center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71131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7C22" w:rsidRPr="002E7C22" w:rsidRDefault="002E7C22" w:rsidP="002E7C22">
            <w:pPr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 xml:space="preserve">Porez na nepokretnosti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jc w:val="right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20 500 000,00 €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jc w:val="right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20 000 000,00 €</w:t>
            </w:r>
          </w:p>
        </w:tc>
      </w:tr>
      <w:tr w:rsidR="002E7C22" w:rsidRPr="002E7C22" w:rsidTr="002E7C22">
        <w:trPr>
          <w:trHeight w:val="330"/>
        </w:trPr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C22" w:rsidRPr="002E7C22" w:rsidRDefault="002E7C22" w:rsidP="002E7C22">
            <w:pPr>
              <w:jc w:val="center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71132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7C22" w:rsidRPr="002E7C22" w:rsidRDefault="002E7C22" w:rsidP="002E7C22">
            <w:pPr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Porez na promet nepokretnosti  (80%)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jc w:val="right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5 600 000,00 €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E7C22" w:rsidRPr="002E7C22" w:rsidRDefault="002E7C22" w:rsidP="002E7C22">
            <w:pPr>
              <w:jc w:val="right"/>
              <w:rPr>
                <w:sz w:val="22"/>
                <w:szCs w:val="22"/>
                <w:lang w:val="sr-Latn-ME" w:eastAsia="sr-Latn-ME"/>
              </w:rPr>
            </w:pPr>
            <w:r w:rsidRPr="002E7C22">
              <w:rPr>
                <w:sz w:val="22"/>
                <w:szCs w:val="22"/>
                <w:lang w:val="sr-Latn-ME" w:eastAsia="sr-Latn-ME"/>
              </w:rPr>
              <w:t>5 400 000,00 €</w:t>
            </w:r>
          </w:p>
        </w:tc>
      </w:tr>
    </w:tbl>
    <w:p w:rsidR="00384175" w:rsidRPr="00FA47E0" w:rsidRDefault="002E7C22" w:rsidP="00A265B1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10076" w:type="dxa"/>
        <w:tblLook w:val="04A0" w:firstRow="1" w:lastRow="0" w:firstColumn="1" w:lastColumn="0" w:noHBand="0" w:noVBand="1"/>
      </w:tblPr>
      <w:tblGrid>
        <w:gridCol w:w="420"/>
        <w:gridCol w:w="816"/>
        <w:gridCol w:w="5920"/>
        <w:gridCol w:w="1460"/>
        <w:gridCol w:w="1460"/>
      </w:tblGrid>
      <w:tr w:rsidR="00734CED" w:rsidRPr="00734CED" w:rsidTr="00734CED">
        <w:trPr>
          <w:trHeight w:val="57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CED" w:rsidRPr="00734CED" w:rsidRDefault="00734CED" w:rsidP="00734CED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 xml:space="preserve">Plan izdataka         </w:t>
            </w:r>
            <w:r>
              <w:rPr>
                <w:b/>
                <w:bCs/>
                <w:sz w:val="20"/>
                <w:szCs w:val="20"/>
                <w:lang w:val="sr-Latn-ME" w:eastAsia="sr-Latn-ME"/>
              </w:rPr>
              <w:t xml:space="preserve">       </w:t>
            </w: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 xml:space="preserve">                                                </w:t>
            </w:r>
            <w:r>
              <w:rPr>
                <w:b/>
                <w:bCs/>
                <w:sz w:val="20"/>
                <w:szCs w:val="20"/>
                <w:lang w:val="sr-Latn-ME" w:eastAsia="sr-Latn-ME"/>
              </w:rPr>
              <w:t xml:space="preserve">          </w:t>
            </w: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>Fiskalana godina 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734CED" w:rsidRPr="00734CED" w:rsidTr="00734CED">
        <w:trPr>
          <w:trHeight w:val="330"/>
        </w:trPr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CED" w:rsidRPr="00734CED" w:rsidRDefault="00734CED" w:rsidP="00734CED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>Ek. šifra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CED" w:rsidRPr="00734CED" w:rsidRDefault="00734CED" w:rsidP="00734CED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 xml:space="preserve"> Opis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ED" w:rsidRPr="00734CED" w:rsidRDefault="00734CED" w:rsidP="00734CED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>Budžet 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ED" w:rsidRPr="00734CED" w:rsidRDefault="00734CED" w:rsidP="00734CED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734CED">
              <w:rPr>
                <w:b/>
                <w:bCs/>
                <w:sz w:val="20"/>
                <w:szCs w:val="20"/>
                <w:lang w:val="sr-Latn-ME" w:eastAsia="sr-Latn-ME"/>
              </w:rPr>
              <w:t>Nacrt 2025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Neto zarade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7 116 500,00 €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6 408 000,00 €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Porez na zarade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574 000,00 €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533 000,00 €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Doprinosi na teret zaposlenog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915 600,00 €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1 189 000,00 €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Doprinosi na teret poslodavca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299 486,00 €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631 000,00 €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Opštinski prirez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57 600,00 €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53 373,58 €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Ostale naknade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874 000,00 €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923 000,00 €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Službena putovanja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75 000,00 €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105 000,00 €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Reprezentacija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118 000,00 €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135 000,00 €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Komunikacione usluge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225 000,00 €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185 000,00 €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Konsultanske usluge, projekti i studije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70 000,00 €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4148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Usluge stručnog usavršavanja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44 000,00 €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71 000,00 €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4149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Ostale usluge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930 500,00 €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1 082 500,00 €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Zakup objekata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172 500,00 €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181 000,00 €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Zakup zemljišta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4192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Izdaci po osnovu troškova sudskih postupaka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100 000,00 €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150 000,00 €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41991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Ostalo - projekti u okviru međunarodne saradnje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90 000,00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41992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Ostalo - podrška programu rada narodne kuhinje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40 000,00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43131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Transferi institucijama sporta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2 000 000,00 €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1 700 000,00 €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43132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Transferi za manifestacije i projekte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600 000,00 €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500 000,00 €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4318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Ostali transferi pojedincima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560 000,00 €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460 000,00 €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431918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Transferi Crvenom krstu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60 000,00 €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80 000,00 €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431919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Transferi NVO DDDK ,,Radivoje Pima''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30 000,00 €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15 000,00 €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43263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Transferi Pogrebne usluge d.o.o.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200 000,00 €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260 000,00 €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43264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Transferi Akademija znanja d.o.o.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110 000,00 €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4415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Izdaci za opremu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4 730 000,00 €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4 330 000,00 €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4416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Investiciono održavanje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915 000,00 €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865 000,00 €</w:t>
            </w:r>
          </w:p>
        </w:tc>
      </w:tr>
      <w:tr w:rsidR="00734CED" w:rsidRPr="00734CED" w:rsidTr="00734CE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4419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4CED" w:rsidRPr="00734CED" w:rsidRDefault="00734CED" w:rsidP="00734CED">
            <w:pPr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Ostali kapitalni izdaci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300 000,00 €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ED" w:rsidRPr="00734CED" w:rsidRDefault="00734CED" w:rsidP="00734CED">
            <w:pPr>
              <w:jc w:val="right"/>
              <w:rPr>
                <w:sz w:val="20"/>
                <w:szCs w:val="20"/>
                <w:lang w:val="sr-Latn-ME" w:eastAsia="sr-Latn-ME"/>
              </w:rPr>
            </w:pPr>
            <w:r w:rsidRPr="00734CED">
              <w:rPr>
                <w:sz w:val="20"/>
                <w:szCs w:val="20"/>
                <w:lang w:val="sr-Latn-ME" w:eastAsia="sr-Latn-ME"/>
              </w:rPr>
              <w:t>500 000,00 €</w:t>
            </w:r>
          </w:p>
        </w:tc>
      </w:tr>
    </w:tbl>
    <w:tbl>
      <w:tblPr>
        <w:tblpPr w:leftFromText="180" w:rightFromText="180" w:vertAnchor="text" w:horzAnchor="margin" w:tblpXSpec="center" w:tblpY="-991"/>
        <w:tblW w:w="11866" w:type="dxa"/>
        <w:tblLook w:val="04A0" w:firstRow="1" w:lastRow="0" w:firstColumn="1" w:lastColumn="0" w:noHBand="0" w:noVBand="1"/>
      </w:tblPr>
      <w:tblGrid>
        <w:gridCol w:w="700"/>
        <w:gridCol w:w="936"/>
        <w:gridCol w:w="820"/>
        <w:gridCol w:w="5624"/>
        <w:gridCol w:w="1760"/>
        <w:gridCol w:w="2026"/>
      </w:tblGrid>
      <w:tr w:rsidR="00696404" w:rsidRPr="00696404" w:rsidTr="00696404">
        <w:trPr>
          <w:trHeight w:val="525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FC3170">
            <w:pPr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696404">
              <w:rPr>
                <w:b/>
                <w:bCs/>
                <w:sz w:val="20"/>
                <w:szCs w:val="20"/>
                <w:lang w:val="sr-Latn-ME" w:eastAsia="sr-Latn-ME"/>
              </w:rPr>
              <w:lastRenderedPageBreak/>
              <w:t>Org. šifra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696404">
              <w:rPr>
                <w:b/>
                <w:bCs/>
                <w:sz w:val="20"/>
                <w:szCs w:val="20"/>
                <w:lang w:val="sr-Latn-ME" w:eastAsia="sr-Latn-ME"/>
              </w:rPr>
              <w:t>Ek. šifra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sz w:val="20"/>
                <w:szCs w:val="20"/>
                <w:lang w:val="sr-Latn-ME" w:eastAsia="sr-Latn-ME"/>
              </w:rPr>
            </w:pPr>
            <w:r w:rsidRPr="00696404">
              <w:rPr>
                <w:b/>
                <w:bCs/>
                <w:sz w:val="20"/>
                <w:szCs w:val="20"/>
                <w:lang w:val="sr-Latn-ME" w:eastAsia="sr-Latn-ME"/>
              </w:rPr>
              <w:t>Funkc. Šifra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Naziv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Budžet 2025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Nacrt 2025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PREDSJEDNIK I SLUŽBA PREDSJEDNIKA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260 000,00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26 000,00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2 200,00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40 000,00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Ostalo - projekti u okviru međunarodne saradnje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90 000,00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012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GLAVNOG ADMINISTRATORA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160 000,00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150 000,00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29 000,00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013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SKUPŠTINE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102 000,00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8 000,00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1 100,00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1 073,58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9 000,00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Zakup objekata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1 500,00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43151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političkim partijama - redovno finansiranje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388 649,00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389 842,20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političkim partijama - redovan rad ženskih organizacija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38 865,00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38 984,22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014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ZA JAVNE NABAVKE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80 000,00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16 000,00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016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MENADŽERA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95 000,00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6 000,00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2 500,00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Konsultanske usluge, projekti i studije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 xml:space="preserve">Ostale usluge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lastRenderedPageBreak/>
              <w:t>021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SEKRETARIJAT ZA ZAŠTITU IMOVINE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255 000,00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227 000,00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17 000,00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 xml:space="preserve">Ostale naknade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usluge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150 000,00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Izdaci po osnovu troškova sudskih postupaka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150 000,00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0330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Akademija znanja doo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110 000,00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031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 xml:space="preserve">SEKRETARIJAT ZA LOKALNU SAMOUPRAVU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682 000,00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635 000,00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36 000,00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85 000,00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112 000,00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3 600,00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2 500,00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1 500,00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Komunikacione usluge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220 000,00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180 000,00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032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 xml:space="preserve">SEKRETARIJAT ZA DRUŠTVENE DJELATNOSTI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19 000,00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48 000,00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19 000,00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2 200,00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usluge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65 000,00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41992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0160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Ostalo - podrška programu rada narodne kuhinje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43131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institucijama sporta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1 700 000,00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za manifestacije i projekte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600 000,00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431917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JU Muzeji i Galerije Budve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1 350 000,00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1 400 000,00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431918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Crvenom krstu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60 000,00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80 000,00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431919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NVO DDDK ,,Radivoje Pima''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15 000,00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1041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Dnevni Centar za djecu i omladinu sa smetnjama u razvoju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440 000,00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400 000,00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042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 xml:space="preserve">SEKRETARIJAT ZA PRIVREDU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0412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285 000,00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275 000,00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0412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22 000,00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24 000,00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0412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36 000,00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49 000,00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0412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0412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2 200,00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2 400,00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0412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0412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Ostai transferi pojedincima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300 000,00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SEKRETARIJAT ZA FINANSIJE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236 000,00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234 000,00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18 000,00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2 100,00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2 200,00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044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UPRAVA  LOKALNIH  JAVNIH  PRIHODA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800 000,00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695 000,00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47 000,00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105 000,00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125 000,00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49 000,00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4 700,00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1 500,00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045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ZA UNUTRAŠNJU REVIZIJU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34 500,00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3 600,00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986,00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naknade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usluge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051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SEKRETARIJAT ZA INVESTICIJE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311 000,00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280 000,00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39 000,00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51 000,00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2 200,00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Usluge stručnog usavršavanja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4415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Izdaci za opremu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1 800 000,00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4419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Ostali kapitalni izdaci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300 000,00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052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SEKRETARIJAT ZA KOMUNALNO STAMBENE POSLOVE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389 000,00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380 000,00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49 000,00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70 000,00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28 000,00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3 200,00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43263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Transferi Pogrebne usluge d.o.o.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200 000,00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260 000,00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 xml:space="preserve">Investiciono održavanje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700 000,00</w:t>
            </w:r>
          </w:p>
        </w:tc>
      </w:tr>
      <w:tr w:rsidR="00696404" w:rsidRPr="00696404" w:rsidTr="00696404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053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ZA OBRAČUN I NAPLATU NAKNADE ZA KOMUNALNO OPREMANJE GRAĐEVINSKOG ZEMLJIŠTA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94 000,00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95 000,00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8 000,00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18 000,00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8 000,00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800,00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061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SEKRETARIJAT ZA URBANIZAM I ODRŽIVI RAZVOJ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265 000,00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263 000,00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23 000,00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34 000,00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49 000,00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2 100,00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2 300,00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Usluge stručnog usavršavanja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25 000,00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usluge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85 000,00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062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GLAVNOG GRADSKOG ARHITEKTE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165 000,00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155 000,00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14 000,00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1 400,00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0620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usluge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95 000,00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071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 xml:space="preserve">KOMUNALNA INSPEKCIJA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520 000,00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66 000,00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11 000,00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naknade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Administrativni materijal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Usluge strucnog usavrsavanja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usluge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4191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Izdaci po osnovu isplate ugovora o djelu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Ostalo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4415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Izdaci za opremu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4631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0170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Otplata obaveza iz prethodnog perioda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072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KOMUNALNA POLICIJA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560 000,00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890 000,00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84 000,00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70 000,00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165 000,00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8 400,00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naknade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25 000,00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Administrativni materijal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Usluge strucnog usavrsavanja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Ostale usluge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100 000,00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Zakup objekata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6 000,00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Izdaci po osnovu isplate ugovora o djelu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8 000,00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Ostalo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500,00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4415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0560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Izdaci za opremu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50 000,00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4631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0170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Otplata obaveza iz prethodnog perioda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10 000,00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081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ZA INFORMACIONE TEHNOLOGIJE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0830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90 000,00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75 000,00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14 000,00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6 000,00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700,00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Default="00696404" w:rsidP="00696404">
            <w:pPr>
              <w:jc w:val="right"/>
              <w:rPr>
                <w:lang w:val="sr-Latn-ME" w:eastAsia="sr-Latn-ME"/>
              </w:rPr>
            </w:pPr>
          </w:p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0830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</w:tr>
      <w:tr w:rsidR="00696404" w:rsidRPr="00696404" w:rsidTr="00696404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091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SLUŽBA ZAŠTITE I SPAŠAVANJA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  <w:r w:rsidRPr="00696404">
              <w:rPr>
                <w:b/>
                <w:bCs/>
                <w:lang w:val="sr-Latn-ME" w:eastAsia="sr-Latn-ME"/>
              </w:rPr>
              <w:t> 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rPr>
                <w:b/>
                <w:bCs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Neto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1 450 000,00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1 280 000,00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Porez na zarade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120 000,00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111 000,00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zaposlenog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187 000,00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235 000,00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Doprinosi na teret poslodavca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245 000,00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Opštinski prirez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  <w:r w:rsidRPr="00696404">
              <w:rPr>
                <w:color w:val="000000"/>
                <w:lang w:val="sr-Latn-ME" w:eastAsia="sr-Latn-ME"/>
              </w:rPr>
              <w:t>11 100,00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color w:val="000000"/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0320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službena putovanja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Rashodi za reprezentaciju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5 000,00</w:t>
            </w:r>
          </w:p>
        </w:tc>
      </w:tr>
      <w:tr w:rsidR="00696404" w:rsidRPr="00696404" w:rsidTr="0069640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4415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center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0320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404" w:rsidRPr="00696404" w:rsidRDefault="00696404" w:rsidP="00696404">
            <w:pPr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Izdaci za opremu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1 500 000,00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404" w:rsidRPr="00696404" w:rsidRDefault="00696404" w:rsidP="00696404">
            <w:pPr>
              <w:jc w:val="right"/>
              <w:rPr>
                <w:lang w:val="sr-Latn-ME" w:eastAsia="sr-Latn-ME"/>
              </w:rPr>
            </w:pPr>
            <w:r w:rsidRPr="00696404">
              <w:rPr>
                <w:lang w:val="sr-Latn-ME" w:eastAsia="sr-Latn-ME"/>
              </w:rPr>
              <w:t>1 300 000,00</w:t>
            </w:r>
          </w:p>
        </w:tc>
      </w:tr>
    </w:tbl>
    <w:p w:rsidR="00082A9F" w:rsidRPr="00FA47E0" w:rsidRDefault="00082A9F" w:rsidP="00A265B1">
      <w:pPr>
        <w:jc w:val="both"/>
        <w:rPr>
          <w:sz w:val="28"/>
          <w:szCs w:val="28"/>
        </w:rPr>
      </w:pPr>
    </w:p>
    <w:p w:rsidR="00082A9F" w:rsidRPr="00FA47E0" w:rsidRDefault="00082A9F" w:rsidP="00A265B1">
      <w:pPr>
        <w:jc w:val="both"/>
        <w:rPr>
          <w:sz w:val="28"/>
          <w:szCs w:val="28"/>
        </w:rPr>
      </w:pPr>
    </w:p>
    <w:p w:rsidR="00451C7E" w:rsidRPr="00FA47E0" w:rsidRDefault="00451C7E" w:rsidP="00451C7E">
      <w:pPr>
        <w:jc w:val="right"/>
        <w:rPr>
          <w:sz w:val="28"/>
          <w:szCs w:val="28"/>
        </w:rPr>
      </w:pPr>
      <w:r w:rsidRPr="00FA47E0">
        <w:rPr>
          <w:sz w:val="28"/>
          <w:szCs w:val="28"/>
        </w:rPr>
        <w:t>Zapisničari,</w:t>
      </w:r>
    </w:p>
    <w:p w:rsidR="00451C7E" w:rsidRPr="00FA47E0" w:rsidRDefault="00451C7E" w:rsidP="00451C7E">
      <w:pPr>
        <w:jc w:val="right"/>
        <w:rPr>
          <w:sz w:val="28"/>
          <w:szCs w:val="28"/>
        </w:rPr>
      </w:pPr>
    </w:p>
    <w:p w:rsidR="00451C7E" w:rsidRPr="00FA47E0" w:rsidRDefault="00451C7E" w:rsidP="00451C7E">
      <w:pPr>
        <w:jc w:val="right"/>
        <w:rPr>
          <w:sz w:val="28"/>
          <w:szCs w:val="28"/>
        </w:rPr>
      </w:pPr>
      <w:r w:rsidRPr="00FA47E0">
        <w:rPr>
          <w:sz w:val="28"/>
          <w:szCs w:val="28"/>
        </w:rPr>
        <w:t>Marko Vujović</w:t>
      </w:r>
    </w:p>
    <w:p w:rsidR="00451C7E" w:rsidRPr="00FA47E0" w:rsidRDefault="00451C7E" w:rsidP="00451C7E">
      <w:pPr>
        <w:jc w:val="right"/>
        <w:rPr>
          <w:sz w:val="28"/>
          <w:szCs w:val="28"/>
        </w:rPr>
      </w:pPr>
    </w:p>
    <w:p w:rsidR="00451C7E" w:rsidRPr="00FA47E0" w:rsidRDefault="00451C7E" w:rsidP="00451C7E">
      <w:pPr>
        <w:jc w:val="right"/>
        <w:rPr>
          <w:sz w:val="28"/>
          <w:szCs w:val="28"/>
        </w:rPr>
      </w:pPr>
      <w:r w:rsidRPr="00FA47E0">
        <w:rPr>
          <w:sz w:val="28"/>
          <w:szCs w:val="28"/>
        </w:rPr>
        <w:t>Neda Radanović</w:t>
      </w:r>
    </w:p>
    <w:p w:rsidR="00EC547D" w:rsidRDefault="00EC547D" w:rsidP="00A265B1">
      <w:pPr>
        <w:jc w:val="both"/>
        <w:rPr>
          <w:sz w:val="28"/>
          <w:szCs w:val="28"/>
        </w:rPr>
      </w:pPr>
    </w:p>
    <w:p w:rsidR="00EC547D" w:rsidRDefault="00EC547D" w:rsidP="00A265B1">
      <w:pPr>
        <w:jc w:val="both"/>
        <w:rPr>
          <w:sz w:val="28"/>
          <w:szCs w:val="28"/>
        </w:rPr>
      </w:pPr>
    </w:p>
    <w:p w:rsidR="007C31C0" w:rsidRDefault="007C31C0" w:rsidP="00A265B1">
      <w:pPr>
        <w:jc w:val="both"/>
        <w:rPr>
          <w:sz w:val="28"/>
          <w:szCs w:val="28"/>
        </w:rPr>
      </w:pPr>
    </w:p>
    <w:p w:rsidR="007C31C0" w:rsidRDefault="007C31C0" w:rsidP="00A265B1">
      <w:pPr>
        <w:jc w:val="both"/>
        <w:rPr>
          <w:sz w:val="28"/>
          <w:szCs w:val="28"/>
        </w:rPr>
      </w:pPr>
      <w:bookmarkStart w:id="0" w:name="_GoBack"/>
      <w:bookmarkEnd w:id="0"/>
    </w:p>
    <w:p w:rsidR="00DB67BD" w:rsidRDefault="00DB67BD" w:rsidP="0036043F">
      <w:pPr>
        <w:jc w:val="both"/>
        <w:rPr>
          <w:sz w:val="28"/>
          <w:szCs w:val="28"/>
        </w:rPr>
      </w:pPr>
    </w:p>
    <w:p w:rsidR="00DB67BD" w:rsidRDefault="00DB67BD" w:rsidP="0036043F">
      <w:pPr>
        <w:jc w:val="both"/>
        <w:rPr>
          <w:sz w:val="28"/>
          <w:szCs w:val="28"/>
        </w:rPr>
      </w:pPr>
    </w:p>
    <w:p w:rsidR="00BC5EC1" w:rsidRDefault="00DB67BD" w:rsidP="00360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D06" w:rsidRDefault="00070D06" w:rsidP="0036043F">
      <w:pPr>
        <w:jc w:val="both"/>
        <w:rPr>
          <w:sz w:val="28"/>
          <w:szCs w:val="28"/>
        </w:rPr>
      </w:pPr>
    </w:p>
    <w:sectPr w:rsidR="00070D06" w:rsidSect="00451C7E">
      <w:footerReference w:type="default" r:id="rId10"/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84" w:rsidRDefault="00976284" w:rsidP="008078CD">
      <w:r>
        <w:separator/>
      </w:r>
    </w:p>
  </w:endnote>
  <w:endnote w:type="continuationSeparator" w:id="0">
    <w:p w:rsidR="00976284" w:rsidRDefault="00976284" w:rsidP="0080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703878"/>
      <w:docPartObj>
        <w:docPartGallery w:val="Page Numbers (Bottom of Page)"/>
        <w:docPartUnique/>
      </w:docPartObj>
    </w:sdtPr>
    <w:sdtEndPr/>
    <w:sdtContent>
      <w:p w:rsidR="00976284" w:rsidRDefault="009762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5E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76284" w:rsidRDefault="00976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84" w:rsidRDefault="00976284" w:rsidP="008078CD">
      <w:r>
        <w:separator/>
      </w:r>
    </w:p>
  </w:footnote>
  <w:footnote w:type="continuationSeparator" w:id="0">
    <w:p w:rsidR="00976284" w:rsidRDefault="00976284" w:rsidP="0080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6E10"/>
    <w:multiLevelType w:val="hybridMultilevel"/>
    <w:tmpl w:val="EB141C8E"/>
    <w:lvl w:ilvl="0" w:tplc="B854E8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D12"/>
    <w:multiLevelType w:val="hybridMultilevel"/>
    <w:tmpl w:val="7974FB5E"/>
    <w:lvl w:ilvl="0" w:tplc="D160C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22B4E"/>
    <w:multiLevelType w:val="hybridMultilevel"/>
    <w:tmpl w:val="386608E0"/>
    <w:lvl w:ilvl="0" w:tplc="265E57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62C0"/>
    <w:multiLevelType w:val="hybridMultilevel"/>
    <w:tmpl w:val="40C8CE44"/>
    <w:lvl w:ilvl="0" w:tplc="D160C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D6719"/>
    <w:multiLevelType w:val="hybridMultilevel"/>
    <w:tmpl w:val="5F443804"/>
    <w:lvl w:ilvl="0" w:tplc="1D6C3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090"/>
    <w:multiLevelType w:val="hybridMultilevel"/>
    <w:tmpl w:val="0D3889BE"/>
    <w:lvl w:ilvl="0" w:tplc="F5E6281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D2D2EB2"/>
    <w:multiLevelType w:val="hybridMultilevel"/>
    <w:tmpl w:val="A50640F4"/>
    <w:lvl w:ilvl="0" w:tplc="C45C9A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B"/>
    <w:rsid w:val="00006E6C"/>
    <w:rsid w:val="000108E2"/>
    <w:rsid w:val="00026924"/>
    <w:rsid w:val="00027F57"/>
    <w:rsid w:val="00031A96"/>
    <w:rsid w:val="0003418A"/>
    <w:rsid w:val="00036148"/>
    <w:rsid w:val="00050E15"/>
    <w:rsid w:val="000536D4"/>
    <w:rsid w:val="00057BFB"/>
    <w:rsid w:val="00057EEB"/>
    <w:rsid w:val="0007003B"/>
    <w:rsid w:val="00070D06"/>
    <w:rsid w:val="00073FEC"/>
    <w:rsid w:val="0007592D"/>
    <w:rsid w:val="00082A9F"/>
    <w:rsid w:val="0008428B"/>
    <w:rsid w:val="0008535F"/>
    <w:rsid w:val="0008612D"/>
    <w:rsid w:val="00086BD9"/>
    <w:rsid w:val="000A0E3C"/>
    <w:rsid w:val="000A143E"/>
    <w:rsid w:val="000A3BA4"/>
    <w:rsid w:val="000A524A"/>
    <w:rsid w:val="000A6057"/>
    <w:rsid w:val="000A6F4A"/>
    <w:rsid w:val="000B4EE6"/>
    <w:rsid w:val="000B5AEB"/>
    <w:rsid w:val="000B77D3"/>
    <w:rsid w:val="000C11C7"/>
    <w:rsid w:val="000C3335"/>
    <w:rsid w:val="000C71F9"/>
    <w:rsid w:val="000D15A5"/>
    <w:rsid w:val="000D164D"/>
    <w:rsid w:val="000D30CF"/>
    <w:rsid w:val="000D35BC"/>
    <w:rsid w:val="000D4AB2"/>
    <w:rsid w:val="000E40D5"/>
    <w:rsid w:val="000F3DBE"/>
    <w:rsid w:val="000F50EB"/>
    <w:rsid w:val="000F6643"/>
    <w:rsid w:val="000F6E1A"/>
    <w:rsid w:val="00102DB6"/>
    <w:rsid w:val="00107F99"/>
    <w:rsid w:val="001154E5"/>
    <w:rsid w:val="00124DE6"/>
    <w:rsid w:val="00130540"/>
    <w:rsid w:val="00144BDF"/>
    <w:rsid w:val="00147128"/>
    <w:rsid w:val="001646BF"/>
    <w:rsid w:val="00164773"/>
    <w:rsid w:val="001653D7"/>
    <w:rsid w:val="00166925"/>
    <w:rsid w:val="001739FE"/>
    <w:rsid w:val="00173E7F"/>
    <w:rsid w:val="00192099"/>
    <w:rsid w:val="00197C1D"/>
    <w:rsid w:val="001A4A90"/>
    <w:rsid w:val="001B3ECF"/>
    <w:rsid w:val="001B3FD9"/>
    <w:rsid w:val="001B4404"/>
    <w:rsid w:val="001B4E0E"/>
    <w:rsid w:val="001B615D"/>
    <w:rsid w:val="001C21A0"/>
    <w:rsid w:val="001C3D87"/>
    <w:rsid w:val="001C7405"/>
    <w:rsid w:val="001D7F5D"/>
    <w:rsid w:val="001E523D"/>
    <w:rsid w:val="001F0F73"/>
    <w:rsid w:val="001F7251"/>
    <w:rsid w:val="002008C9"/>
    <w:rsid w:val="002024C6"/>
    <w:rsid w:val="002102AA"/>
    <w:rsid w:val="002157E3"/>
    <w:rsid w:val="00221C4F"/>
    <w:rsid w:val="00222121"/>
    <w:rsid w:val="00225606"/>
    <w:rsid w:val="002257EC"/>
    <w:rsid w:val="00232ABF"/>
    <w:rsid w:val="00241EED"/>
    <w:rsid w:val="002425A0"/>
    <w:rsid w:val="00246651"/>
    <w:rsid w:val="0024709D"/>
    <w:rsid w:val="00252549"/>
    <w:rsid w:val="00253E52"/>
    <w:rsid w:val="00255443"/>
    <w:rsid w:val="00255536"/>
    <w:rsid w:val="0025702C"/>
    <w:rsid w:val="002709C8"/>
    <w:rsid w:val="0027641E"/>
    <w:rsid w:val="00280484"/>
    <w:rsid w:val="0028438F"/>
    <w:rsid w:val="002925F8"/>
    <w:rsid w:val="00293D11"/>
    <w:rsid w:val="00293ECD"/>
    <w:rsid w:val="002940DB"/>
    <w:rsid w:val="002943D9"/>
    <w:rsid w:val="002A3E18"/>
    <w:rsid w:val="002B2493"/>
    <w:rsid w:val="002B4798"/>
    <w:rsid w:val="002B6E93"/>
    <w:rsid w:val="002C2C53"/>
    <w:rsid w:val="002C537A"/>
    <w:rsid w:val="002E3BD9"/>
    <w:rsid w:val="002E7C22"/>
    <w:rsid w:val="002F0CF2"/>
    <w:rsid w:val="002F5909"/>
    <w:rsid w:val="002F62BF"/>
    <w:rsid w:val="002F745C"/>
    <w:rsid w:val="00305539"/>
    <w:rsid w:val="0032163B"/>
    <w:rsid w:val="003313D9"/>
    <w:rsid w:val="003325E1"/>
    <w:rsid w:val="00334891"/>
    <w:rsid w:val="003358F9"/>
    <w:rsid w:val="00336F7A"/>
    <w:rsid w:val="0033779B"/>
    <w:rsid w:val="00337B50"/>
    <w:rsid w:val="0034268D"/>
    <w:rsid w:val="0035421F"/>
    <w:rsid w:val="00355DE4"/>
    <w:rsid w:val="0036043F"/>
    <w:rsid w:val="00360FD3"/>
    <w:rsid w:val="00362466"/>
    <w:rsid w:val="0037002A"/>
    <w:rsid w:val="00377C0C"/>
    <w:rsid w:val="00384175"/>
    <w:rsid w:val="00396DD3"/>
    <w:rsid w:val="003A32E3"/>
    <w:rsid w:val="003A6BB6"/>
    <w:rsid w:val="003A7A43"/>
    <w:rsid w:val="003B3248"/>
    <w:rsid w:val="003B3F69"/>
    <w:rsid w:val="003E159D"/>
    <w:rsid w:val="003E2958"/>
    <w:rsid w:val="003E3C49"/>
    <w:rsid w:val="003F4879"/>
    <w:rsid w:val="00401EB5"/>
    <w:rsid w:val="00410C83"/>
    <w:rsid w:val="00412328"/>
    <w:rsid w:val="004220E7"/>
    <w:rsid w:val="00423A6A"/>
    <w:rsid w:val="00433035"/>
    <w:rsid w:val="0043587E"/>
    <w:rsid w:val="00440EBF"/>
    <w:rsid w:val="004466E6"/>
    <w:rsid w:val="00447CC8"/>
    <w:rsid w:val="00451C7E"/>
    <w:rsid w:val="0046232D"/>
    <w:rsid w:val="00463C03"/>
    <w:rsid w:val="0046478F"/>
    <w:rsid w:val="004733C8"/>
    <w:rsid w:val="00482899"/>
    <w:rsid w:val="004830B3"/>
    <w:rsid w:val="004831B6"/>
    <w:rsid w:val="004846DA"/>
    <w:rsid w:val="00486279"/>
    <w:rsid w:val="004B0F77"/>
    <w:rsid w:val="004B6625"/>
    <w:rsid w:val="004B6EB5"/>
    <w:rsid w:val="004C62E3"/>
    <w:rsid w:val="004C7EB6"/>
    <w:rsid w:val="004D013D"/>
    <w:rsid w:val="004D229C"/>
    <w:rsid w:val="004D3975"/>
    <w:rsid w:val="004D7181"/>
    <w:rsid w:val="004D72F5"/>
    <w:rsid w:val="004E40B5"/>
    <w:rsid w:val="004F3D13"/>
    <w:rsid w:val="005023F6"/>
    <w:rsid w:val="00511B39"/>
    <w:rsid w:val="00513091"/>
    <w:rsid w:val="00522664"/>
    <w:rsid w:val="00524525"/>
    <w:rsid w:val="00530C4B"/>
    <w:rsid w:val="0054656F"/>
    <w:rsid w:val="00550DCA"/>
    <w:rsid w:val="00552CF3"/>
    <w:rsid w:val="005541ED"/>
    <w:rsid w:val="005545E0"/>
    <w:rsid w:val="00557646"/>
    <w:rsid w:val="00561351"/>
    <w:rsid w:val="005702D1"/>
    <w:rsid w:val="005762B2"/>
    <w:rsid w:val="00577421"/>
    <w:rsid w:val="0058442C"/>
    <w:rsid w:val="00585C8E"/>
    <w:rsid w:val="005875B9"/>
    <w:rsid w:val="00593967"/>
    <w:rsid w:val="00593DB0"/>
    <w:rsid w:val="005A3B0C"/>
    <w:rsid w:val="005B4CF1"/>
    <w:rsid w:val="005C78E7"/>
    <w:rsid w:val="005D4634"/>
    <w:rsid w:val="005D623A"/>
    <w:rsid w:val="005E076E"/>
    <w:rsid w:val="005E15AA"/>
    <w:rsid w:val="005F7DD9"/>
    <w:rsid w:val="00600111"/>
    <w:rsid w:val="0060592C"/>
    <w:rsid w:val="00607F82"/>
    <w:rsid w:val="0061085E"/>
    <w:rsid w:val="00613F08"/>
    <w:rsid w:val="0062294A"/>
    <w:rsid w:val="00625918"/>
    <w:rsid w:val="00626F88"/>
    <w:rsid w:val="00642B75"/>
    <w:rsid w:val="0065318E"/>
    <w:rsid w:val="00660C23"/>
    <w:rsid w:val="00660F7F"/>
    <w:rsid w:val="00666E2C"/>
    <w:rsid w:val="00677E2F"/>
    <w:rsid w:val="00681D5B"/>
    <w:rsid w:val="006829FC"/>
    <w:rsid w:val="00685E0D"/>
    <w:rsid w:val="006871B3"/>
    <w:rsid w:val="006923DD"/>
    <w:rsid w:val="00693061"/>
    <w:rsid w:val="00696404"/>
    <w:rsid w:val="00696FE6"/>
    <w:rsid w:val="006A1F66"/>
    <w:rsid w:val="006A4F55"/>
    <w:rsid w:val="006A5CAD"/>
    <w:rsid w:val="006A667C"/>
    <w:rsid w:val="006A6770"/>
    <w:rsid w:val="006A6A20"/>
    <w:rsid w:val="006B353A"/>
    <w:rsid w:val="006B52A8"/>
    <w:rsid w:val="006B6597"/>
    <w:rsid w:val="006C730E"/>
    <w:rsid w:val="006C79B2"/>
    <w:rsid w:val="006D2383"/>
    <w:rsid w:val="006E5A08"/>
    <w:rsid w:val="006F63FB"/>
    <w:rsid w:val="006F6862"/>
    <w:rsid w:val="0070239A"/>
    <w:rsid w:val="00707AF1"/>
    <w:rsid w:val="00713412"/>
    <w:rsid w:val="00720A3B"/>
    <w:rsid w:val="007232B7"/>
    <w:rsid w:val="00726613"/>
    <w:rsid w:val="00726CC7"/>
    <w:rsid w:val="00727F84"/>
    <w:rsid w:val="007337BC"/>
    <w:rsid w:val="00734CED"/>
    <w:rsid w:val="00735590"/>
    <w:rsid w:val="00742E23"/>
    <w:rsid w:val="007437A4"/>
    <w:rsid w:val="00743D7B"/>
    <w:rsid w:val="0074417D"/>
    <w:rsid w:val="007451D9"/>
    <w:rsid w:val="00745FD5"/>
    <w:rsid w:val="00747A5F"/>
    <w:rsid w:val="00750F9E"/>
    <w:rsid w:val="00752363"/>
    <w:rsid w:val="00763054"/>
    <w:rsid w:val="00763F6F"/>
    <w:rsid w:val="0076587B"/>
    <w:rsid w:val="00765DBC"/>
    <w:rsid w:val="007669E2"/>
    <w:rsid w:val="007765EC"/>
    <w:rsid w:val="0077728C"/>
    <w:rsid w:val="007829FB"/>
    <w:rsid w:val="00782D5F"/>
    <w:rsid w:val="0078322F"/>
    <w:rsid w:val="00783A06"/>
    <w:rsid w:val="00785002"/>
    <w:rsid w:val="007966DB"/>
    <w:rsid w:val="007A4C5E"/>
    <w:rsid w:val="007B7260"/>
    <w:rsid w:val="007C0082"/>
    <w:rsid w:val="007C31C0"/>
    <w:rsid w:val="007C3B35"/>
    <w:rsid w:val="007C6F39"/>
    <w:rsid w:val="007D6365"/>
    <w:rsid w:val="007D66F6"/>
    <w:rsid w:val="007E4E5B"/>
    <w:rsid w:val="00801035"/>
    <w:rsid w:val="008078CD"/>
    <w:rsid w:val="0081658C"/>
    <w:rsid w:val="008176B0"/>
    <w:rsid w:val="00821B3B"/>
    <w:rsid w:val="00832634"/>
    <w:rsid w:val="00833342"/>
    <w:rsid w:val="00834AE8"/>
    <w:rsid w:val="008443C4"/>
    <w:rsid w:val="00856899"/>
    <w:rsid w:val="0086221B"/>
    <w:rsid w:val="00862589"/>
    <w:rsid w:val="00866536"/>
    <w:rsid w:val="008739A5"/>
    <w:rsid w:val="008769CF"/>
    <w:rsid w:val="008836E6"/>
    <w:rsid w:val="008950E9"/>
    <w:rsid w:val="008A284E"/>
    <w:rsid w:val="008A7BBE"/>
    <w:rsid w:val="008B1720"/>
    <w:rsid w:val="008B2429"/>
    <w:rsid w:val="008B2A08"/>
    <w:rsid w:val="008B7695"/>
    <w:rsid w:val="008C3944"/>
    <w:rsid w:val="008D0D17"/>
    <w:rsid w:val="008D3F3D"/>
    <w:rsid w:val="008E0759"/>
    <w:rsid w:val="008E3470"/>
    <w:rsid w:val="008E69C7"/>
    <w:rsid w:val="008F0F53"/>
    <w:rsid w:val="008F6E04"/>
    <w:rsid w:val="008F718B"/>
    <w:rsid w:val="008F794C"/>
    <w:rsid w:val="00902EBA"/>
    <w:rsid w:val="00906C76"/>
    <w:rsid w:val="00914792"/>
    <w:rsid w:val="00923902"/>
    <w:rsid w:val="009274FF"/>
    <w:rsid w:val="00932B96"/>
    <w:rsid w:val="00941D83"/>
    <w:rsid w:val="0094622A"/>
    <w:rsid w:val="00950CB1"/>
    <w:rsid w:val="00954BD3"/>
    <w:rsid w:val="0095667C"/>
    <w:rsid w:val="00962C0E"/>
    <w:rsid w:val="0096408A"/>
    <w:rsid w:val="00976284"/>
    <w:rsid w:val="00977F73"/>
    <w:rsid w:val="00980317"/>
    <w:rsid w:val="009828EB"/>
    <w:rsid w:val="00982FDA"/>
    <w:rsid w:val="00994721"/>
    <w:rsid w:val="009A0989"/>
    <w:rsid w:val="009A3941"/>
    <w:rsid w:val="009A3F59"/>
    <w:rsid w:val="009A4CE3"/>
    <w:rsid w:val="009A5FFA"/>
    <w:rsid w:val="009A73A8"/>
    <w:rsid w:val="009B3A3F"/>
    <w:rsid w:val="009C72FF"/>
    <w:rsid w:val="009D1AAB"/>
    <w:rsid w:val="009D66D0"/>
    <w:rsid w:val="009E0688"/>
    <w:rsid w:val="009E51C4"/>
    <w:rsid w:val="009E592F"/>
    <w:rsid w:val="009E7799"/>
    <w:rsid w:val="009F6901"/>
    <w:rsid w:val="00A016B1"/>
    <w:rsid w:val="00A01D80"/>
    <w:rsid w:val="00A03185"/>
    <w:rsid w:val="00A10669"/>
    <w:rsid w:val="00A11B8B"/>
    <w:rsid w:val="00A1259E"/>
    <w:rsid w:val="00A1765C"/>
    <w:rsid w:val="00A17E27"/>
    <w:rsid w:val="00A21F44"/>
    <w:rsid w:val="00A21FE2"/>
    <w:rsid w:val="00A24AA6"/>
    <w:rsid w:val="00A264B9"/>
    <w:rsid w:val="00A265B1"/>
    <w:rsid w:val="00A3381E"/>
    <w:rsid w:val="00A413E2"/>
    <w:rsid w:val="00A41BF9"/>
    <w:rsid w:val="00A4533A"/>
    <w:rsid w:val="00A62357"/>
    <w:rsid w:val="00A63D7E"/>
    <w:rsid w:val="00A71C43"/>
    <w:rsid w:val="00A74871"/>
    <w:rsid w:val="00A82F24"/>
    <w:rsid w:val="00A86C05"/>
    <w:rsid w:val="00A942F5"/>
    <w:rsid w:val="00A96810"/>
    <w:rsid w:val="00A97630"/>
    <w:rsid w:val="00AA2BAF"/>
    <w:rsid w:val="00AA3009"/>
    <w:rsid w:val="00AA3606"/>
    <w:rsid w:val="00AA75DA"/>
    <w:rsid w:val="00AB057D"/>
    <w:rsid w:val="00AC07F2"/>
    <w:rsid w:val="00AC4E6F"/>
    <w:rsid w:val="00AD6FD1"/>
    <w:rsid w:val="00AE145B"/>
    <w:rsid w:val="00AE1D9A"/>
    <w:rsid w:val="00AE29E2"/>
    <w:rsid w:val="00AF68EE"/>
    <w:rsid w:val="00B05E19"/>
    <w:rsid w:val="00B1455E"/>
    <w:rsid w:val="00B15C1B"/>
    <w:rsid w:val="00B173A3"/>
    <w:rsid w:val="00B25651"/>
    <w:rsid w:val="00B26452"/>
    <w:rsid w:val="00B26DD5"/>
    <w:rsid w:val="00B27C3D"/>
    <w:rsid w:val="00B314A2"/>
    <w:rsid w:val="00B31B26"/>
    <w:rsid w:val="00B330A9"/>
    <w:rsid w:val="00B44CAB"/>
    <w:rsid w:val="00B64950"/>
    <w:rsid w:val="00B64B64"/>
    <w:rsid w:val="00B655E7"/>
    <w:rsid w:val="00B67267"/>
    <w:rsid w:val="00B717A2"/>
    <w:rsid w:val="00B745ED"/>
    <w:rsid w:val="00B90420"/>
    <w:rsid w:val="00B904ED"/>
    <w:rsid w:val="00B92978"/>
    <w:rsid w:val="00B94EBC"/>
    <w:rsid w:val="00B97DFC"/>
    <w:rsid w:val="00BA33D7"/>
    <w:rsid w:val="00BA7195"/>
    <w:rsid w:val="00BA7977"/>
    <w:rsid w:val="00BC1824"/>
    <w:rsid w:val="00BC5BC4"/>
    <w:rsid w:val="00BC5EC1"/>
    <w:rsid w:val="00BC66CB"/>
    <w:rsid w:val="00BD0000"/>
    <w:rsid w:val="00BE0DA5"/>
    <w:rsid w:val="00BE3389"/>
    <w:rsid w:val="00BE791B"/>
    <w:rsid w:val="00BF5F72"/>
    <w:rsid w:val="00BF6315"/>
    <w:rsid w:val="00C01402"/>
    <w:rsid w:val="00C06682"/>
    <w:rsid w:val="00C217C5"/>
    <w:rsid w:val="00C25E22"/>
    <w:rsid w:val="00C40E3F"/>
    <w:rsid w:val="00C45740"/>
    <w:rsid w:val="00C46BA6"/>
    <w:rsid w:val="00C535EC"/>
    <w:rsid w:val="00C56DF6"/>
    <w:rsid w:val="00C642BD"/>
    <w:rsid w:val="00C72667"/>
    <w:rsid w:val="00C81258"/>
    <w:rsid w:val="00C82575"/>
    <w:rsid w:val="00C83CDC"/>
    <w:rsid w:val="00C85C83"/>
    <w:rsid w:val="00C86350"/>
    <w:rsid w:val="00C87FD0"/>
    <w:rsid w:val="00C90864"/>
    <w:rsid w:val="00C91853"/>
    <w:rsid w:val="00C92580"/>
    <w:rsid w:val="00C941F7"/>
    <w:rsid w:val="00C953BD"/>
    <w:rsid w:val="00C97EFE"/>
    <w:rsid w:val="00CA2D30"/>
    <w:rsid w:val="00CA793E"/>
    <w:rsid w:val="00CB2D48"/>
    <w:rsid w:val="00CC7A49"/>
    <w:rsid w:val="00CE48EC"/>
    <w:rsid w:val="00CF58FD"/>
    <w:rsid w:val="00CF6C73"/>
    <w:rsid w:val="00D06A9B"/>
    <w:rsid w:val="00D12962"/>
    <w:rsid w:val="00D13F61"/>
    <w:rsid w:val="00D24EF6"/>
    <w:rsid w:val="00D27819"/>
    <w:rsid w:val="00D324C1"/>
    <w:rsid w:val="00D32E78"/>
    <w:rsid w:val="00D3750E"/>
    <w:rsid w:val="00D41AAB"/>
    <w:rsid w:val="00D47039"/>
    <w:rsid w:val="00D544AA"/>
    <w:rsid w:val="00D61DBA"/>
    <w:rsid w:val="00D63317"/>
    <w:rsid w:val="00D635EE"/>
    <w:rsid w:val="00D77116"/>
    <w:rsid w:val="00D96611"/>
    <w:rsid w:val="00DA0D39"/>
    <w:rsid w:val="00DA2650"/>
    <w:rsid w:val="00DA4E53"/>
    <w:rsid w:val="00DB67BD"/>
    <w:rsid w:val="00DB7F2B"/>
    <w:rsid w:val="00DC0FE6"/>
    <w:rsid w:val="00DC766F"/>
    <w:rsid w:val="00DD3EB2"/>
    <w:rsid w:val="00DD5AAE"/>
    <w:rsid w:val="00DE0E17"/>
    <w:rsid w:val="00DE1E99"/>
    <w:rsid w:val="00DE26E3"/>
    <w:rsid w:val="00DE614B"/>
    <w:rsid w:val="00DF0C24"/>
    <w:rsid w:val="00DF101A"/>
    <w:rsid w:val="00DF253B"/>
    <w:rsid w:val="00DF7E41"/>
    <w:rsid w:val="00E029E4"/>
    <w:rsid w:val="00E02DD1"/>
    <w:rsid w:val="00E04B16"/>
    <w:rsid w:val="00E07CE9"/>
    <w:rsid w:val="00E11BA5"/>
    <w:rsid w:val="00E3019F"/>
    <w:rsid w:val="00E31DDC"/>
    <w:rsid w:val="00E32AA2"/>
    <w:rsid w:val="00E40E12"/>
    <w:rsid w:val="00E436CA"/>
    <w:rsid w:val="00E47CAA"/>
    <w:rsid w:val="00E50592"/>
    <w:rsid w:val="00E527CD"/>
    <w:rsid w:val="00E52FCB"/>
    <w:rsid w:val="00E54B18"/>
    <w:rsid w:val="00E55120"/>
    <w:rsid w:val="00E61900"/>
    <w:rsid w:val="00E641A6"/>
    <w:rsid w:val="00E65175"/>
    <w:rsid w:val="00E65413"/>
    <w:rsid w:val="00E801AA"/>
    <w:rsid w:val="00E91F2A"/>
    <w:rsid w:val="00E935B0"/>
    <w:rsid w:val="00E943C2"/>
    <w:rsid w:val="00EA15B2"/>
    <w:rsid w:val="00EA35E5"/>
    <w:rsid w:val="00EC547D"/>
    <w:rsid w:val="00ED4D69"/>
    <w:rsid w:val="00ED7A9E"/>
    <w:rsid w:val="00F01A54"/>
    <w:rsid w:val="00F05AF3"/>
    <w:rsid w:val="00F105FB"/>
    <w:rsid w:val="00F143DE"/>
    <w:rsid w:val="00F16D08"/>
    <w:rsid w:val="00F223CB"/>
    <w:rsid w:val="00F25953"/>
    <w:rsid w:val="00F40454"/>
    <w:rsid w:val="00F46D19"/>
    <w:rsid w:val="00F47B88"/>
    <w:rsid w:val="00F52411"/>
    <w:rsid w:val="00F52F6D"/>
    <w:rsid w:val="00F54B02"/>
    <w:rsid w:val="00F56029"/>
    <w:rsid w:val="00F57C3A"/>
    <w:rsid w:val="00F60410"/>
    <w:rsid w:val="00F60428"/>
    <w:rsid w:val="00F6628E"/>
    <w:rsid w:val="00F70E24"/>
    <w:rsid w:val="00F73A7B"/>
    <w:rsid w:val="00F83462"/>
    <w:rsid w:val="00F90665"/>
    <w:rsid w:val="00FA47E0"/>
    <w:rsid w:val="00FA4D1B"/>
    <w:rsid w:val="00FA4DA4"/>
    <w:rsid w:val="00FB166A"/>
    <w:rsid w:val="00FB29F3"/>
    <w:rsid w:val="00FB52C7"/>
    <w:rsid w:val="00FC3170"/>
    <w:rsid w:val="00FC6538"/>
    <w:rsid w:val="00FD1709"/>
    <w:rsid w:val="00FD4279"/>
    <w:rsid w:val="00FD7FD6"/>
    <w:rsid w:val="00FE5053"/>
    <w:rsid w:val="00FE552A"/>
    <w:rsid w:val="00FE5C58"/>
    <w:rsid w:val="00FE5CD0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C8DC-6E4A-400D-AED9-7240D3A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8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8C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078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8C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qFormat/>
    <w:rsid w:val="006F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7"/>
    <w:rPr>
      <w:rFonts w:ascii="Segoe UI" w:eastAsia="Times New Roman" w:hAnsi="Segoe UI" w:cs="Segoe UI"/>
      <w:sz w:val="18"/>
      <w:szCs w:val="18"/>
      <w:lang w:val="sr-Latn-CS"/>
    </w:rPr>
  </w:style>
  <w:style w:type="paragraph" w:styleId="ListParagraph">
    <w:name w:val="List Paragraph"/>
    <w:basedOn w:val="Normal"/>
    <w:uiPriority w:val="34"/>
    <w:qFormat/>
    <w:rsid w:val="00C64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6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091"/>
    <w:rPr>
      <w:color w:val="800080"/>
      <w:u w:val="single"/>
    </w:rPr>
  </w:style>
  <w:style w:type="paragraph" w:customStyle="1" w:styleId="xl67">
    <w:name w:val="xl67"/>
    <w:basedOn w:val="Normal"/>
    <w:rsid w:val="00513091"/>
    <w:pPr>
      <w:spacing w:before="100" w:beforeAutospacing="1" w:after="100" w:afterAutospacing="1"/>
    </w:pPr>
    <w:rPr>
      <w:lang w:val="en-US"/>
    </w:rPr>
  </w:style>
  <w:style w:type="paragraph" w:customStyle="1" w:styleId="xl68">
    <w:name w:val="xl68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9">
    <w:name w:val="xl69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70">
    <w:name w:val="xl70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71">
    <w:name w:val="xl71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72">
    <w:name w:val="xl72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73">
    <w:name w:val="xl73"/>
    <w:basedOn w:val="Normal"/>
    <w:rsid w:val="005130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4">
    <w:name w:val="xl74"/>
    <w:basedOn w:val="Normal"/>
    <w:rsid w:val="005130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75">
    <w:name w:val="xl75"/>
    <w:basedOn w:val="Normal"/>
    <w:rsid w:val="005130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76">
    <w:name w:val="xl76"/>
    <w:basedOn w:val="Normal"/>
    <w:rsid w:val="00513091"/>
    <w:pP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77">
    <w:name w:val="xl77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78">
    <w:name w:val="xl78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79">
    <w:name w:val="xl79"/>
    <w:basedOn w:val="Normal"/>
    <w:rsid w:val="00513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80">
    <w:name w:val="xl80"/>
    <w:basedOn w:val="Normal"/>
    <w:rsid w:val="00513091"/>
    <w:pP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81">
    <w:name w:val="xl8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82">
    <w:name w:val="xl82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83">
    <w:name w:val="xl83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84">
    <w:name w:val="xl84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85">
    <w:name w:val="xl85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86">
    <w:name w:val="xl86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87">
    <w:name w:val="xl87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88">
    <w:name w:val="xl88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89">
    <w:name w:val="xl89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90">
    <w:name w:val="xl90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91">
    <w:name w:val="xl9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92">
    <w:name w:val="xl92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93">
    <w:name w:val="xl93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94">
    <w:name w:val="xl94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95">
    <w:name w:val="xl95"/>
    <w:basedOn w:val="Normal"/>
    <w:rsid w:val="00513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96">
    <w:name w:val="xl96"/>
    <w:basedOn w:val="Normal"/>
    <w:rsid w:val="00513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97">
    <w:name w:val="xl97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98">
    <w:name w:val="xl98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99">
    <w:name w:val="xl99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100">
    <w:name w:val="xl100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01">
    <w:name w:val="xl101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02">
    <w:name w:val="xl102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03">
    <w:name w:val="xl103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04">
    <w:name w:val="xl104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05">
    <w:name w:val="xl105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06">
    <w:name w:val="xl106"/>
    <w:basedOn w:val="Normal"/>
    <w:rsid w:val="00513091"/>
    <w:pP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07">
    <w:name w:val="xl107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108">
    <w:name w:val="xl108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109">
    <w:name w:val="xl109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110">
    <w:name w:val="xl110"/>
    <w:basedOn w:val="Normal"/>
    <w:rsid w:val="00513091"/>
    <w:pPr>
      <w:spacing w:before="100" w:beforeAutospacing="1" w:after="100" w:afterAutospacing="1"/>
      <w:textAlignment w:val="top"/>
    </w:pPr>
    <w:rPr>
      <w:lang w:val="en-US"/>
    </w:rPr>
  </w:style>
  <w:style w:type="paragraph" w:customStyle="1" w:styleId="xl111">
    <w:name w:val="xl111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12">
    <w:name w:val="xl112"/>
    <w:basedOn w:val="Normal"/>
    <w:rsid w:val="0051309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13">
    <w:name w:val="xl113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14">
    <w:name w:val="xl114"/>
    <w:basedOn w:val="Normal"/>
    <w:rsid w:val="005130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15">
    <w:name w:val="xl115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16">
    <w:name w:val="xl116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17">
    <w:name w:val="xl117"/>
    <w:basedOn w:val="Normal"/>
    <w:rsid w:val="00513091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18">
    <w:name w:val="xl118"/>
    <w:basedOn w:val="Normal"/>
    <w:rsid w:val="0051309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19">
    <w:name w:val="xl119"/>
    <w:basedOn w:val="Normal"/>
    <w:rsid w:val="0051309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20">
    <w:name w:val="xl120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21">
    <w:name w:val="xl12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22">
    <w:name w:val="xl122"/>
    <w:basedOn w:val="Normal"/>
    <w:rsid w:val="00513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23">
    <w:name w:val="xl123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24">
    <w:name w:val="xl124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25">
    <w:name w:val="xl125"/>
    <w:basedOn w:val="Normal"/>
    <w:rsid w:val="00513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26">
    <w:name w:val="xl126"/>
    <w:basedOn w:val="Normal"/>
    <w:rsid w:val="00513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27">
    <w:name w:val="xl127"/>
    <w:basedOn w:val="Normal"/>
    <w:rsid w:val="005130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28">
    <w:name w:val="xl128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29">
    <w:name w:val="xl129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30">
    <w:name w:val="xl130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31">
    <w:name w:val="xl131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32">
    <w:name w:val="xl132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33">
    <w:name w:val="xl133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34">
    <w:name w:val="xl134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35">
    <w:name w:val="xl135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136">
    <w:name w:val="xl136"/>
    <w:basedOn w:val="Normal"/>
    <w:rsid w:val="00513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37">
    <w:name w:val="xl137"/>
    <w:basedOn w:val="Normal"/>
    <w:rsid w:val="00513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38">
    <w:name w:val="xl138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39">
    <w:name w:val="xl139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40">
    <w:name w:val="xl140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41">
    <w:name w:val="xl14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42">
    <w:name w:val="xl142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43">
    <w:name w:val="xl143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44">
    <w:name w:val="xl144"/>
    <w:basedOn w:val="Normal"/>
    <w:rsid w:val="00513091"/>
    <w:pP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45">
    <w:name w:val="xl145"/>
    <w:basedOn w:val="Normal"/>
    <w:rsid w:val="00513091"/>
    <w:pP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46">
    <w:name w:val="xl146"/>
    <w:basedOn w:val="Normal"/>
    <w:rsid w:val="00513091"/>
    <w:pPr>
      <w:spacing w:before="100" w:beforeAutospacing="1" w:after="100" w:afterAutospacing="1"/>
      <w:textAlignment w:val="top"/>
    </w:pPr>
    <w:rPr>
      <w:lang w:val="en-US"/>
    </w:rPr>
  </w:style>
  <w:style w:type="paragraph" w:customStyle="1" w:styleId="xl147">
    <w:name w:val="xl147"/>
    <w:basedOn w:val="Normal"/>
    <w:rsid w:val="005130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48">
    <w:name w:val="xl148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49">
    <w:name w:val="xl149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50">
    <w:name w:val="xl150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51">
    <w:name w:val="xl151"/>
    <w:basedOn w:val="Normal"/>
    <w:rsid w:val="0051309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52">
    <w:name w:val="xl152"/>
    <w:basedOn w:val="Normal"/>
    <w:rsid w:val="00513091"/>
    <w:pPr>
      <w:spacing w:before="100" w:beforeAutospacing="1" w:after="100" w:afterAutospacing="1"/>
    </w:pPr>
    <w:rPr>
      <w:lang w:val="en-US"/>
    </w:rPr>
  </w:style>
  <w:style w:type="paragraph" w:customStyle="1" w:styleId="xl153">
    <w:name w:val="xl153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54">
    <w:name w:val="xl154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155">
    <w:name w:val="xl155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/>
    </w:rPr>
  </w:style>
  <w:style w:type="paragraph" w:customStyle="1" w:styleId="xl156">
    <w:name w:val="xl156"/>
    <w:basedOn w:val="Normal"/>
    <w:rsid w:val="00513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57">
    <w:name w:val="xl157"/>
    <w:basedOn w:val="Normal"/>
    <w:rsid w:val="00513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58">
    <w:name w:val="xl158"/>
    <w:basedOn w:val="Normal"/>
    <w:rsid w:val="005130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59">
    <w:name w:val="xl159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60">
    <w:name w:val="xl160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61">
    <w:name w:val="xl16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62">
    <w:name w:val="xl162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63">
    <w:name w:val="xl163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64">
    <w:name w:val="xl164"/>
    <w:basedOn w:val="Normal"/>
    <w:rsid w:val="00513091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xl165">
    <w:name w:val="xl165"/>
    <w:basedOn w:val="Normal"/>
    <w:rsid w:val="00513091"/>
    <w:pPr>
      <w:spacing w:before="100" w:beforeAutospacing="1" w:after="100" w:afterAutospacing="1"/>
      <w:textAlignment w:val="top"/>
    </w:pPr>
    <w:rPr>
      <w:lang w:val="en-US"/>
    </w:rPr>
  </w:style>
  <w:style w:type="paragraph" w:customStyle="1" w:styleId="xl166">
    <w:name w:val="xl166"/>
    <w:basedOn w:val="Normal"/>
    <w:rsid w:val="00513091"/>
    <w:pPr>
      <w:spacing w:before="100" w:beforeAutospacing="1" w:after="100" w:afterAutospacing="1"/>
    </w:pPr>
    <w:rPr>
      <w:lang w:val="en-US"/>
    </w:rPr>
  </w:style>
  <w:style w:type="paragraph" w:customStyle="1" w:styleId="xl167">
    <w:name w:val="xl167"/>
    <w:basedOn w:val="Normal"/>
    <w:rsid w:val="00513091"/>
    <w:pP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68">
    <w:name w:val="xl168"/>
    <w:basedOn w:val="Normal"/>
    <w:rsid w:val="00513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69">
    <w:name w:val="xl169"/>
    <w:basedOn w:val="Normal"/>
    <w:rsid w:val="00513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70">
    <w:name w:val="xl170"/>
    <w:basedOn w:val="Normal"/>
    <w:rsid w:val="00513091"/>
    <w:pPr>
      <w:pBdr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71">
    <w:name w:val="xl171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72">
    <w:name w:val="xl172"/>
    <w:basedOn w:val="Normal"/>
    <w:rsid w:val="005130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73">
    <w:name w:val="xl173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74">
    <w:name w:val="xl174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175">
    <w:name w:val="xl175"/>
    <w:basedOn w:val="Normal"/>
    <w:rsid w:val="00513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176">
    <w:name w:val="xl176"/>
    <w:basedOn w:val="Normal"/>
    <w:rsid w:val="0051309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77">
    <w:name w:val="xl177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/>
    </w:rPr>
  </w:style>
  <w:style w:type="paragraph" w:customStyle="1" w:styleId="xl178">
    <w:name w:val="xl178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79">
    <w:name w:val="xl179"/>
    <w:basedOn w:val="Normal"/>
    <w:rsid w:val="0051309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80">
    <w:name w:val="xl180"/>
    <w:basedOn w:val="Normal"/>
    <w:rsid w:val="00513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81">
    <w:name w:val="xl181"/>
    <w:basedOn w:val="Normal"/>
    <w:rsid w:val="0051309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82">
    <w:name w:val="xl182"/>
    <w:basedOn w:val="Normal"/>
    <w:rsid w:val="0051309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83">
    <w:name w:val="xl183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184">
    <w:name w:val="xl184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85">
    <w:name w:val="xl185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86">
    <w:name w:val="xl186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87">
    <w:name w:val="xl187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88">
    <w:name w:val="xl188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89">
    <w:name w:val="xl189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90">
    <w:name w:val="xl190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91">
    <w:name w:val="xl19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92">
    <w:name w:val="xl192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93">
    <w:name w:val="xl193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94">
    <w:name w:val="xl194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xl195">
    <w:name w:val="xl195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96">
    <w:name w:val="xl196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197">
    <w:name w:val="xl197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98">
    <w:name w:val="xl198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199">
    <w:name w:val="xl199"/>
    <w:basedOn w:val="Normal"/>
    <w:rsid w:val="005130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xl200">
    <w:name w:val="xl200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201">
    <w:name w:val="xl20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02">
    <w:name w:val="xl202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03">
    <w:name w:val="xl203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04">
    <w:name w:val="xl204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05">
    <w:name w:val="xl205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206">
    <w:name w:val="xl206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207">
    <w:name w:val="xl207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08">
    <w:name w:val="xl208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209">
    <w:name w:val="xl209"/>
    <w:basedOn w:val="Normal"/>
    <w:rsid w:val="005130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10">
    <w:name w:val="xl210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11">
    <w:name w:val="xl211"/>
    <w:basedOn w:val="Normal"/>
    <w:rsid w:val="0051309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12">
    <w:name w:val="xl212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13">
    <w:name w:val="xl213"/>
    <w:basedOn w:val="Normal"/>
    <w:rsid w:val="0051309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14">
    <w:name w:val="xl214"/>
    <w:basedOn w:val="Normal"/>
    <w:rsid w:val="0051309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/>
    </w:rPr>
  </w:style>
  <w:style w:type="paragraph" w:customStyle="1" w:styleId="xl215">
    <w:name w:val="xl215"/>
    <w:basedOn w:val="Normal"/>
    <w:rsid w:val="0051309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/>
    </w:rPr>
  </w:style>
  <w:style w:type="paragraph" w:customStyle="1" w:styleId="xl216">
    <w:name w:val="xl216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17">
    <w:name w:val="xl217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218">
    <w:name w:val="xl218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219">
    <w:name w:val="xl219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/>
    </w:rPr>
  </w:style>
  <w:style w:type="paragraph" w:customStyle="1" w:styleId="xl220">
    <w:name w:val="xl220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221">
    <w:name w:val="xl22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222">
    <w:name w:val="xl222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23">
    <w:name w:val="xl223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24">
    <w:name w:val="xl224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25">
    <w:name w:val="xl225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26">
    <w:name w:val="xl226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27">
    <w:name w:val="xl227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228">
    <w:name w:val="xl228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229">
    <w:name w:val="xl229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230">
    <w:name w:val="xl230"/>
    <w:basedOn w:val="Normal"/>
    <w:rsid w:val="0051309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31">
    <w:name w:val="xl231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32">
    <w:name w:val="xl232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33">
    <w:name w:val="xl233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234">
    <w:name w:val="xl234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235">
    <w:name w:val="xl235"/>
    <w:basedOn w:val="Normal"/>
    <w:rsid w:val="005130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36">
    <w:name w:val="xl236"/>
    <w:basedOn w:val="Normal"/>
    <w:rsid w:val="005130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37">
    <w:name w:val="xl237"/>
    <w:basedOn w:val="Normal"/>
    <w:rsid w:val="005130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38">
    <w:name w:val="xl238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39">
    <w:name w:val="xl239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40">
    <w:name w:val="xl240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241">
    <w:name w:val="xl241"/>
    <w:basedOn w:val="Normal"/>
    <w:rsid w:val="0051309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242">
    <w:name w:val="xl242"/>
    <w:basedOn w:val="Normal"/>
    <w:rsid w:val="005130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xl243">
    <w:name w:val="xl243"/>
    <w:basedOn w:val="Normal"/>
    <w:rsid w:val="0051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244">
    <w:name w:val="xl244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45">
    <w:name w:val="xl245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xl246">
    <w:name w:val="xl246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xl247">
    <w:name w:val="xl247"/>
    <w:basedOn w:val="Normal"/>
    <w:rsid w:val="00513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248">
    <w:name w:val="xl248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49">
    <w:name w:val="xl249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250">
    <w:name w:val="xl250"/>
    <w:basedOn w:val="Normal"/>
    <w:rsid w:val="0051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/>
    </w:rPr>
  </w:style>
  <w:style w:type="paragraph" w:customStyle="1" w:styleId="xl251">
    <w:name w:val="xl251"/>
    <w:basedOn w:val="Normal"/>
    <w:rsid w:val="005130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msonormal0">
    <w:name w:val="msonormal"/>
    <w:basedOn w:val="Normal"/>
    <w:rsid w:val="00696404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vujovic@budv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da.radanovic@budv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D94E3-D6E9-40A4-A9B7-0F5B7382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13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marko.vujovic</dc:creator>
  <cp:lastModifiedBy>Marko Vujovic</cp:lastModifiedBy>
  <cp:revision>108</cp:revision>
  <cp:lastPrinted>2024-12-26T07:33:00Z</cp:lastPrinted>
  <dcterms:created xsi:type="dcterms:W3CDTF">2023-12-13T11:31:00Z</dcterms:created>
  <dcterms:modified xsi:type="dcterms:W3CDTF">2024-12-30T10:48:00Z</dcterms:modified>
</cp:coreProperties>
</file>